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5B086F">
      <w:pPr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2141855</wp:posOffset>
            </wp:positionH>
            <wp:positionV relativeFrom="paragraph">
              <wp:posOffset>-474980</wp:posOffset>
            </wp:positionV>
            <wp:extent cx="1127125" cy="723265"/>
            <wp:effectExtent l="0" t="0" r="3175" b="635"/>
            <wp:wrapTopAndBottom/>
            <wp:docPr id="19" name="Рисунок 2" descr="C:\Documents and Settings\Admin\Мои документы\Бланки, логотипы, подписи\jinr-blue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2" descr="C:\Documents and Settings\Admin\Мои документы\Бланки, логотипы, подписи\jinr-blue-smal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4FB623">
      <w:pPr>
        <w:jc w:val="center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>JOINT  INSTITUTE  FOR  NUCLEAR  RESEARCH</w:t>
      </w:r>
    </w:p>
    <w:p w14:paraId="471C5246">
      <w:pPr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Frank Laboratory of Neutron Physics</w:t>
      </w:r>
    </w:p>
    <w:p w14:paraId="72FDD0B9">
      <w:pPr>
        <w:rPr>
          <w:rFonts w:ascii="Arial" w:hAnsi="Arial" w:cs="Arial"/>
          <w:lang w:val="en-US"/>
        </w:rPr>
      </w:pPr>
    </w:p>
    <w:p w14:paraId="6F6D9723">
      <w:pPr>
        <w:rPr>
          <w:rFonts w:ascii="Arial" w:hAnsi="Arial" w:cs="Arial"/>
          <w:lang w:val="en-US"/>
        </w:rPr>
      </w:pPr>
    </w:p>
    <w:p w14:paraId="40FC25E3">
      <w:pPr>
        <w:rPr>
          <w:rFonts w:ascii="Arial" w:hAnsi="Arial" w:cs="Arial"/>
          <w:lang w:val="en-US"/>
        </w:rPr>
      </w:pPr>
    </w:p>
    <w:p w14:paraId="2816A422">
      <w:pPr>
        <w:rPr>
          <w:rFonts w:ascii="Arial" w:hAnsi="Arial" w:cs="Arial"/>
          <w:lang w:val="en-US"/>
        </w:rPr>
      </w:pPr>
    </w:p>
    <w:p w14:paraId="31970955">
      <w:pPr>
        <w:rPr>
          <w:rFonts w:ascii="Arial" w:hAnsi="Arial" w:cs="Arial"/>
          <w:lang w:val="en-US"/>
        </w:rPr>
      </w:pPr>
    </w:p>
    <w:p w14:paraId="3DAA79F9">
      <w:pPr>
        <w:jc w:val="center"/>
        <w:rPr>
          <w:rFonts w:ascii="Arial" w:hAnsi="Arial" w:cs="Arial"/>
          <w:b/>
          <w:w w:val="95"/>
          <w:sz w:val="52"/>
          <w:szCs w:val="52"/>
          <w:lang w:val="en-US"/>
        </w:rPr>
      </w:pPr>
      <w:r>
        <w:rPr>
          <w:rFonts w:ascii="Arial" w:hAnsi="Arial" w:cs="Arial"/>
          <w:b/>
          <w:w w:val="95"/>
          <w:sz w:val="52"/>
          <w:szCs w:val="52"/>
          <w:lang w:val="en-US"/>
        </w:rPr>
        <w:t>FINAL REPORT ON THE</w:t>
      </w:r>
    </w:p>
    <w:p w14:paraId="2C04EE86">
      <w:pPr>
        <w:jc w:val="center"/>
        <w:rPr>
          <w:rFonts w:ascii="Arial" w:hAnsi="Arial" w:cs="Arial"/>
          <w:b/>
          <w:w w:val="95"/>
          <w:sz w:val="56"/>
          <w:szCs w:val="60"/>
          <w:lang w:val="en-US"/>
        </w:rPr>
      </w:pPr>
      <w:r>
        <w:rPr>
          <w:rFonts w:ascii="Arial" w:hAnsi="Arial" w:cs="Arial"/>
          <w:b/>
          <w:w w:val="95"/>
          <w:sz w:val="56"/>
          <w:szCs w:val="60"/>
          <w:lang w:val="en-US"/>
        </w:rPr>
        <w:t xml:space="preserve">INTEREST PROGRAMME </w:t>
      </w:r>
    </w:p>
    <w:p w14:paraId="264A36D8">
      <w:pPr>
        <w:rPr>
          <w:rFonts w:ascii="Arial" w:hAnsi="Arial" w:cs="Arial"/>
          <w:b/>
          <w:w w:val="95"/>
          <w:sz w:val="56"/>
          <w:szCs w:val="60"/>
          <w:lang w:val="en-US"/>
        </w:rPr>
      </w:pPr>
    </w:p>
    <w:p w14:paraId="7446B6A6">
      <w:pPr>
        <w:rPr>
          <w:rFonts w:ascii="Arial" w:hAnsi="Arial" w:cs="Arial"/>
          <w:lang w:val="en-US"/>
        </w:rPr>
      </w:pPr>
    </w:p>
    <w:p w14:paraId="1BFA7A1D">
      <w:pPr>
        <w:rPr>
          <w:rFonts w:ascii="Arial" w:hAnsi="Arial" w:cs="Arial"/>
          <w:lang w:val="en-US"/>
        </w:rPr>
      </w:pPr>
    </w:p>
    <w:p w14:paraId="0D439B34">
      <w:pPr>
        <w:jc w:val="center"/>
        <w:rPr>
          <w:rFonts w:ascii="Arial" w:hAnsi="Arial" w:cs="Arial"/>
          <w:i/>
          <w:sz w:val="48"/>
          <w:szCs w:val="48"/>
          <w:lang w:val="en-US"/>
        </w:rPr>
      </w:pPr>
      <w:r>
        <w:rPr>
          <w:rFonts w:hint="default" w:ascii="Arial" w:hAnsi="Arial" w:cs="Arial"/>
          <w:i/>
          <w:sz w:val="48"/>
          <w:szCs w:val="48"/>
          <w:lang w:val="en-US"/>
        </w:rPr>
        <w:t>Quantum Chemistry in Action: Molecules, Spectra, and Crystals</w:t>
      </w:r>
    </w:p>
    <w:p w14:paraId="4957CCA9">
      <w:pPr>
        <w:rPr>
          <w:rFonts w:ascii="Arial" w:hAnsi="Arial" w:cs="Arial"/>
          <w:i/>
          <w:sz w:val="48"/>
          <w:szCs w:val="48"/>
          <w:lang w:val="en-US"/>
        </w:rPr>
      </w:pPr>
    </w:p>
    <w:p w14:paraId="5FF77286">
      <w:pPr>
        <w:rPr>
          <w:rFonts w:ascii="Arial" w:hAnsi="Arial" w:cs="Arial"/>
          <w:lang w:val="en-US"/>
        </w:rPr>
      </w:pPr>
    </w:p>
    <w:p w14:paraId="6B72DF74">
      <w:pPr>
        <w:rPr>
          <w:rFonts w:ascii="Arial" w:hAnsi="Arial" w:cs="Arial"/>
          <w:lang w:val="en-US"/>
        </w:rPr>
      </w:pPr>
    </w:p>
    <w:p w14:paraId="6EF97E22">
      <w:pPr>
        <w:rPr>
          <w:rFonts w:ascii="Arial" w:hAnsi="Arial" w:cs="Arial"/>
          <w:lang w:val="en-US"/>
        </w:rPr>
      </w:pPr>
    </w:p>
    <w:p w14:paraId="540C4253">
      <w:pPr>
        <w:ind w:left="4536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 xml:space="preserve">Supervisor: </w:t>
      </w:r>
    </w:p>
    <w:p w14:paraId="4B8D9F66">
      <w:pPr>
        <w:ind w:left="4536"/>
        <w:rPr>
          <w:rFonts w:ascii="Arial" w:hAnsi="Arial" w:cs="Arial"/>
          <w:sz w:val="36"/>
          <w:szCs w:val="36"/>
          <w:lang w:val="en-US"/>
        </w:rPr>
      </w:pPr>
      <w:r>
        <w:rPr>
          <w:rFonts w:hint="default" w:ascii="Arial" w:hAnsi="Arial" w:cs="Arial"/>
          <w:sz w:val="36"/>
          <w:szCs w:val="36"/>
          <w:lang w:val="en-US"/>
        </w:rPr>
        <w:t>Dr Polina Kobchikova</w:t>
      </w:r>
    </w:p>
    <w:p w14:paraId="05642B33">
      <w:pPr>
        <w:ind w:left="4536"/>
        <w:rPr>
          <w:rFonts w:ascii="Arial" w:hAnsi="Arial" w:cs="Arial"/>
          <w:sz w:val="36"/>
          <w:szCs w:val="36"/>
          <w:lang w:val="en-US"/>
        </w:rPr>
      </w:pPr>
    </w:p>
    <w:p w14:paraId="0DB7D575">
      <w:pPr>
        <w:ind w:left="4536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 xml:space="preserve">Student: </w:t>
      </w:r>
    </w:p>
    <w:p w14:paraId="5AEBB1DB">
      <w:pPr>
        <w:ind w:left="4536"/>
        <w:rPr>
          <w:rFonts w:hint="default" w:ascii="Arial" w:hAnsi="Arial" w:cs="Arial"/>
          <w:sz w:val="36"/>
          <w:szCs w:val="36"/>
          <w:lang w:val="en-US" w:eastAsia="ru-RU"/>
        </w:rPr>
      </w:pPr>
      <w:r>
        <w:rPr>
          <w:rFonts w:hint="default" w:ascii="Arial" w:hAnsi="Arial" w:cs="Arial"/>
          <w:sz w:val="36"/>
          <w:szCs w:val="36"/>
          <w:lang w:val="en-US" w:eastAsia="ru-RU"/>
        </w:rPr>
        <w:t>Dunina Valeria, Russia, KFU</w:t>
      </w:r>
    </w:p>
    <w:p w14:paraId="682F82DC">
      <w:pPr>
        <w:ind w:left="4536"/>
        <w:rPr>
          <w:rFonts w:hint="default" w:ascii="Arial" w:hAnsi="Arial" w:cs="Arial"/>
          <w:sz w:val="36"/>
          <w:szCs w:val="36"/>
          <w:lang w:val="en-US" w:eastAsia="ru-RU"/>
        </w:rPr>
      </w:pPr>
    </w:p>
    <w:p w14:paraId="5C3E792A">
      <w:pPr>
        <w:ind w:left="4536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>Participation period:</w:t>
      </w:r>
    </w:p>
    <w:p w14:paraId="6A826E78">
      <w:pPr>
        <w:ind w:left="4536"/>
        <w:rPr>
          <w:rFonts w:hint="default"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fldChar w:fldCharType="begin"/>
      </w:r>
      <w:r>
        <w:rPr>
          <w:rFonts w:ascii="Arial" w:hAnsi="Arial" w:cs="Arial"/>
          <w:sz w:val="36"/>
          <w:szCs w:val="36"/>
          <w:lang w:val="en-US"/>
        </w:rPr>
        <w:instrText xml:space="preserve"> HYPERLINK "https://interest.jinr.ru/?view_wave=13" </w:instrText>
      </w:r>
      <w:r>
        <w:rPr>
          <w:rFonts w:ascii="Arial" w:hAnsi="Arial" w:cs="Arial"/>
          <w:sz w:val="36"/>
          <w:szCs w:val="36"/>
          <w:lang w:val="en-US"/>
        </w:rPr>
        <w:fldChar w:fldCharType="separate"/>
      </w:r>
      <w:r>
        <w:rPr>
          <w:rFonts w:hint="default" w:ascii="Arial" w:hAnsi="Arial" w:cs="Arial"/>
          <w:sz w:val="36"/>
          <w:szCs w:val="36"/>
          <w:lang w:val="en-US"/>
        </w:rPr>
        <w:t>October 20 - November 30,</w:t>
      </w:r>
      <w:r>
        <w:rPr>
          <w:rFonts w:hint="default" w:ascii="Arial" w:hAnsi="Arial" w:cs="Arial"/>
          <w:sz w:val="36"/>
          <w:szCs w:val="36"/>
          <w:lang w:val="en-US"/>
        </w:rPr>
        <w:fldChar w:fldCharType="end"/>
      </w:r>
      <w:r>
        <w:rPr>
          <w:rFonts w:hint="default" w:ascii="Arial" w:hAnsi="Arial" w:cs="Arial"/>
          <w:sz w:val="36"/>
          <w:szCs w:val="36"/>
          <w:lang w:val="en-US"/>
        </w:rPr>
        <w:t xml:space="preserve"> Wave 13 </w:t>
      </w:r>
    </w:p>
    <w:p w14:paraId="27D476FF">
      <w:pPr>
        <w:ind w:left="4536"/>
        <w:rPr>
          <w:rFonts w:ascii="Arial" w:hAnsi="Arial" w:cs="Arial"/>
          <w:sz w:val="36"/>
          <w:szCs w:val="36"/>
          <w:lang w:val="en-US"/>
        </w:rPr>
      </w:pPr>
    </w:p>
    <w:p w14:paraId="43C8E128">
      <w:pPr>
        <w:ind w:left="4536"/>
        <w:rPr>
          <w:rFonts w:ascii="Arial" w:hAnsi="Arial" w:cs="Arial"/>
          <w:sz w:val="36"/>
          <w:szCs w:val="36"/>
          <w:lang w:val="en-US"/>
        </w:rPr>
      </w:pPr>
    </w:p>
    <w:p w14:paraId="353632D2">
      <w:pPr>
        <w:jc w:val="both"/>
        <w:rPr>
          <w:rFonts w:ascii="Arial" w:hAnsi="Arial" w:cs="Arial"/>
          <w:sz w:val="36"/>
          <w:szCs w:val="36"/>
          <w:lang w:val="en-US"/>
        </w:rPr>
      </w:pPr>
    </w:p>
    <w:p w14:paraId="7641F2C1">
      <w:pPr>
        <w:jc w:val="center"/>
        <w:rPr>
          <w:rFonts w:ascii="Arial" w:hAnsi="Arial" w:cs="Arial"/>
          <w:sz w:val="36"/>
          <w:szCs w:val="36"/>
          <w:lang w:val="en-US"/>
        </w:rPr>
      </w:pPr>
    </w:p>
    <w:p w14:paraId="6CB6FE0B">
      <w:pPr>
        <w:jc w:val="center"/>
        <w:rPr>
          <w:rFonts w:ascii="Arial" w:hAnsi="Arial" w:cs="Arial"/>
          <w:sz w:val="36"/>
          <w:szCs w:val="36"/>
          <w:lang w:val="en-US"/>
        </w:rPr>
      </w:pPr>
    </w:p>
    <w:p w14:paraId="320ACAD7">
      <w:pPr>
        <w:jc w:val="both"/>
        <w:rPr>
          <w:rFonts w:ascii="Arial" w:hAnsi="Arial" w:cs="Arial"/>
          <w:sz w:val="36"/>
          <w:szCs w:val="36"/>
          <w:lang w:val="en-US"/>
        </w:rPr>
      </w:pPr>
    </w:p>
    <w:p w14:paraId="34E53F47">
      <w:pPr>
        <w:jc w:val="center"/>
        <w:rPr>
          <w:rFonts w:hint="default"/>
          <w:b/>
          <w:bCs/>
          <w:lang w:val="ru-RU"/>
        </w:rPr>
      </w:pPr>
      <w:r>
        <w:rPr>
          <w:rFonts w:ascii="Arial" w:hAnsi="Arial" w:cs="Arial"/>
          <w:sz w:val="36"/>
          <w:szCs w:val="36"/>
          <w:lang w:val="en-US"/>
        </w:rPr>
        <w:t>Dubna, 202</w:t>
      </w:r>
      <w:r>
        <w:rPr>
          <w:rFonts w:hint="default" w:ascii="Arial" w:hAnsi="Arial" w:cs="Arial"/>
          <w:sz w:val="36"/>
          <w:szCs w:val="36"/>
          <w:lang w:val="en-US"/>
        </w:rPr>
        <w:t>5</w:t>
      </w:r>
    </w:p>
    <w:p w14:paraId="0B74EA36">
      <w:pPr>
        <w:pStyle w:val="4"/>
        <w:bidi w:val="0"/>
        <w:ind w:left="0" w:leftChars="0" w:firstLine="400" w:firstLineChars="0"/>
        <w:rPr>
          <w:rFonts w:hint="default"/>
          <w:b/>
          <w:bCs/>
          <w:lang w:val="ru-RU"/>
        </w:rPr>
        <w:sectPr>
          <w:pgSz w:w="11906" w:h="16838"/>
          <w:pgMar w:top="1134" w:right="850" w:bottom="1134" w:left="1701" w:header="720" w:footer="720" w:gutter="0"/>
          <w:pgNumType w:fmt="decimal" w:start="1"/>
          <w:cols w:space="0" w:num="1"/>
          <w:rtlGutter w:val="0"/>
          <w:docGrid w:linePitch="360" w:charSpace="0"/>
        </w:sectPr>
      </w:pPr>
    </w:p>
    <w:p w14:paraId="06BD2D08">
      <w:pPr>
        <w:pStyle w:val="4"/>
        <w:bidi w:val="0"/>
        <w:ind w:left="0" w:leftChars="0" w:firstLine="400" w:firstLineChars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Оглавление:</w:t>
      </w:r>
    </w:p>
    <w:p w14:paraId="60462F5B">
      <w:pPr>
        <w:pStyle w:val="73"/>
        <w:tabs>
          <w:tab w:val="right" w:leader="dot" w:pos="9355"/>
        </w:tabs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TOC \o "1-3" \h \u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\l _Toc2923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ru-RU"/>
        </w:rPr>
        <w:t>Глава 1. Объект исследования</w:t>
      </w:r>
      <w:r>
        <w:tab/>
      </w:r>
      <w:r>
        <w:fldChar w:fldCharType="begin"/>
      </w:r>
      <w:r>
        <w:instrText xml:space="preserve"> PAGEREF _Toc2923 \h </w:instrText>
      </w:r>
      <w:r>
        <w:fldChar w:fldCharType="separate"/>
      </w:r>
      <w:r>
        <w:t>4</w:t>
      </w:r>
      <w:r>
        <w:fldChar w:fldCharType="end"/>
      </w:r>
      <w:r>
        <w:rPr>
          <w:rFonts w:hint="default"/>
          <w:lang w:val="en-US"/>
        </w:rPr>
        <w:fldChar w:fldCharType="end"/>
      </w:r>
    </w:p>
    <w:p w14:paraId="2C3FF13B">
      <w:pPr>
        <w:pStyle w:val="73"/>
        <w:tabs>
          <w:tab w:val="right" w:leader="dot" w:pos="9355"/>
        </w:tabs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\l _Toc28597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 xml:space="preserve">Глава 2. Программно-аппаратная база </w:t>
      </w:r>
      <w:r>
        <w:rPr>
          <w:rFonts w:hint="default"/>
          <w:lang w:val="ru-RU"/>
        </w:rPr>
        <w:t>исследования</w:t>
      </w:r>
      <w:r>
        <w:tab/>
      </w:r>
      <w:r>
        <w:fldChar w:fldCharType="begin"/>
      </w:r>
      <w:r>
        <w:instrText xml:space="preserve"> PAGEREF _Toc28597 \h </w:instrText>
      </w:r>
      <w:r>
        <w:fldChar w:fldCharType="separate"/>
      </w:r>
      <w:r>
        <w:t>6</w:t>
      </w:r>
      <w:r>
        <w:fldChar w:fldCharType="end"/>
      </w:r>
      <w:r>
        <w:rPr>
          <w:rFonts w:hint="default"/>
          <w:lang w:val="en-US"/>
        </w:rPr>
        <w:fldChar w:fldCharType="end"/>
      </w:r>
    </w:p>
    <w:p w14:paraId="53474137">
      <w:pPr>
        <w:pStyle w:val="72"/>
        <w:tabs>
          <w:tab w:val="right" w:leader="dot" w:pos="9355"/>
        </w:tabs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\l _Toc5014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>2.1. Рабочая среда WSL2</w:t>
      </w:r>
      <w:r>
        <w:tab/>
      </w:r>
      <w:r>
        <w:fldChar w:fldCharType="begin"/>
      </w:r>
      <w:r>
        <w:instrText xml:space="preserve"> PAGEREF _Toc5014 \h </w:instrText>
      </w:r>
      <w:r>
        <w:fldChar w:fldCharType="separate"/>
      </w:r>
      <w:r>
        <w:t>6</w:t>
      </w:r>
      <w:r>
        <w:fldChar w:fldCharType="end"/>
      </w:r>
      <w:r>
        <w:rPr>
          <w:rFonts w:hint="default"/>
          <w:lang w:val="en-US"/>
        </w:rPr>
        <w:fldChar w:fldCharType="end"/>
      </w:r>
    </w:p>
    <w:p w14:paraId="795D4189">
      <w:pPr>
        <w:pStyle w:val="72"/>
        <w:tabs>
          <w:tab w:val="right" w:leader="dot" w:pos="9355"/>
        </w:tabs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\l _Toc31138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>2.2. Программы для квантово-химических расчётов</w:t>
      </w:r>
      <w:r>
        <w:tab/>
      </w:r>
      <w:r>
        <w:fldChar w:fldCharType="begin"/>
      </w:r>
      <w:r>
        <w:instrText xml:space="preserve"> PAGEREF _Toc31138 \h </w:instrText>
      </w:r>
      <w:r>
        <w:fldChar w:fldCharType="separate"/>
      </w:r>
      <w:r>
        <w:t>7</w:t>
      </w:r>
      <w:r>
        <w:fldChar w:fldCharType="end"/>
      </w:r>
      <w:r>
        <w:rPr>
          <w:rFonts w:hint="default"/>
          <w:lang w:val="en-US"/>
        </w:rPr>
        <w:fldChar w:fldCharType="end"/>
      </w:r>
    </w:p>
    <w:p w14:paraId="0489CB39">
      <w:pPr>
        <w:pStyle w:val="72"/>
        <w:tabs>
          <w:tab w:val="right" w:leader="dot" w:pos="9355"/>
        </w:tabs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\l _Toc18081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>2.3. Инструмент визуализации и анализа ChemCraft</w:t>
      </w:r>
      <w:r>
        <w:tab/>
      </w:r>
      <w:r>
        <w:fldChar w:fldCharType="begin"/>
      </w:r>
      <w:r>
        <w:instrText xml:space="preserve"> PAGEREF _Toc18081 \h </w:instrText>
      </w:r>
      <w:r>
        <w:fldChar w:fldCharType="separate"/>
      </w:r>
      <w:r>
        <w:t>10</w:t>
      </w:r>
      <w:r>
        <w:fldChar w:fldCharType="end"/>
      </w:r>
      <w:r>
        <w:rPr>
          <w:rFonts w:hint="default"/>
          <w:lang w:val="en-US"/>
        </w:rPr>
        <w:fldChar w:fldCharType="end"/>
      </w:r>
    </w:p>
    <w:p w14:paraId="46751E69">
      <w:pPr>
        <w:pStyle w:val="73"/>
        <w:tabs>
          <w:tab w:val="right" w:leader="dot" w:pos="9355"/>
        </w:tabs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\l _Toc17838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</w:rPr>
        <w:t>Глава 3. Результаты и их обсуждение</w:t>
      </w:r>
      <w:r>
        <w:tab/>
      </w:r>
      <w:r>
        <w:fldChar w:fldCharType="begin"/>
      </w:r>
      <w:r>
        <w:instrText xml:space="preserve"> PAGEREF _Toc17838 \h </w:instrText>
      </w:r>
      <w:r>
        <w:fldChar w:fldCharType="separate"/>
      </w:r>
      <w:r>
        <w:t>11</w:t>
      </w:r>
      <w:r>
        <w:fldChar w:fldCharType="end"/>
      </w:r>
      <w:r>
        <w:rPr>
          <w:rFonts w:hint="default"/>
          <w:lang w:val="en-US"/>
        </w:rPr>
        <w:fldChar w:fldCharType="end"/>
      </w:r>
    </w:p>
    <w:p w14:paraId="76B8232D">
      <w:pPr>
        <w:pStyle w:val="72"/>
        <w:tabs>
          <w:tab w:val="right" w:leader="dot" w:pos="9355"/>
        </w:tabs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\l _Toc11289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</w:rPr>
        <w:t>3.1. Конформационный анализ суматриптана методом CREST</w:t>
      </w:r>
      <w:r>
        <w:tab/>
      </w:r>
      <w:r>
        <w:fldChar w:fldCharType="begin"/>
      </w:r>
      <w:r>
        <w:instrText xml:space="preserve"> PAGEREF _Toc11289 \h </w:instrText>
      </w:r>
      <w:r>
        <w:fldChar w:fldCharType="separate"/>
      </w:r>
      <w:r>
        <w:t>11</w:t>
      </w:r>
      <w:r>
        <w:fldChar w:fldCharType="end"/>
      </w:r>
      <w:r>
        <w:rPr>
          <w:rFonts w:hint="default"/>
          <w:lang w:val="en-US"/>
        </w:rPr>
        <w:fldChar w:fldCharType="end"/>
      </w:r>
    </w:p>
    <w:p w14:paraId="1B743A2C">
      <w:pPr>
        <w:pStyle w:val="72"/>
        <w:tabs>
          <w:tab w:val="right" w:leader="dot" w:pos="9355"/>
        </w:tabs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\l _Toc19728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</w:rPr>
        <w:t>3.2. Колебательные спектры суматриптана: расчёт и сравнение с экспериментом</w:t>
      </w:r>
      <w:r>
        <w:tab/>
      </w:r>
      <w:r>
        <w:fldChar w:fldCharType="begin"/>
      </w:r>
      <w:r>
        <w:instrText xml:space="preserve"> PAGEREF _Toc19728 \h </w:instrText>
      </w:r>
      <w:r>
        <w:fldChar w:fldCharType="separate"/>
      </w:r>
      <w:r>
        <w:t>4</w:t>
      </w:r>
      <w:r>
        <w:fldChar w:fldCharType="end"/>
      </w:r>
      <w:r>
        <w:rPr>
          <w:rFonts w:hint="default"/>
          <w:lang w:val="en-US"/>
        </w:rPr>
        <w:fldChar w:fldCharType="end"/>
      </w:r>
    </w:p>
    <w:p w14:paraId="2422C5D4">
      <w:pPr>
        <w:pStyle w:val="72"/>
        <w:tabs>
          <w:tab w:val="right" w:leader="dot" w:pos="9355"/>
        </w:tabs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\l _Toc12470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ru-RU"/>
        </w:rPr>
        <w:t>3.3. Структурно-спектральные корреляции</w:t>
      </w:r>
      <w:r>
        <w:tab/>
      </w:r>
      <w:r>
        <w:fldChar w:fldCharType="begin"/>
      </w:r>
      <w:r>
        <w:instrText xml:space="preserve"> PAGEREF _Toc12470 \h </w:instrText>
      </w:r>
      <w:r>
        <w:fldChar w:fldCharType="separate"/>
      </w:r>
      <w:r>
        <w:t>7</w:t>
      </w:r>
      <w:r>
        <w:fldChar w:fldCharType="end"/>
      </w:r>
      <w:r>
        <w:rPr>
          <w:rFonts w:hint="default"/>
          <w:lang w:val="en-US"/>
        </w:rPr>
        <w:fldChar w:fldCharType="end"/>
      </w:r>
    </w:p>
    <w:p w14:paraId="28284ED2">
      <w:pPr>
        <w:pStyle w:val="73"/>
        <w:tabs>
          <w:tab w:val="right" w:leader="dot" w:pos="9355"/>
        </w:tabs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\l _Toc10388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ru-RU"/>
        </w:rPr>
        <w:t>Заключение</w:t>
      </w:r>
      <w:r>
        <w:tab/>
      </w:r>
      <w:r>
        <w:fldChar w:fldCharType="begin"/>
      </w:r>
      <w:r>
        <w:instrText xml:space="preserve"> PAGEREF _Toc10388 \h </w:instrText>
      </w:r>
      <w:r>
        <w:fldChar w:fldCharType="separate"/>
      </w:r>
      <w:r>
        <w:t>7</w:t>
      </w:r>
      <w:r>
        <w:fldChar w:fldCharType="end"/>
      </w:r>
      <w:r>
        <w:rPr>
          <w:rFonts w:hint="default"/>
          <w:lang w:val="en-US"/>
        </w:rPr>
        <w:fldChar w:fldCharType="end"/>
      </w:r>
    </w:p>
    <w:p w14:paraId="29FFF32C">
      <w:pPr>
        <w:pStyle w:val="73"/>
        <w:tabs>
          <w:tab w:val="right" w:leader="dot" w:pos="9355"/>
        </w:tabs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\l _Toc13627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ru-RU"/>
        </w:rPr>
        <w:t>Список л</w:t>
      </w:r>
      <w:r>
        <w:rPr>
          <w:rFonts w:hint="default"/>
          <w:lang w:val="en-US"/>
        </w:rPr>
        <w:t>итератур</w:t>
      </w:r>
      <w:r>
        <w:rPr>
          <w:rFonts w:hint="default"/>
          <w:lang w:val="ru-RU"/>
        </w:rPr>
        <w:t>ы</w:t>
      </w:r>
      <w:r>
        <w:rPr>
          <w:rFonts w:hint="default"/>
          <w:lang w:val="en-US"/>
        </w:rPr>
        <w:t>:</w:t>
      </w:r>
      <w:r>
        <w:tab/>
      </w:r>
      <w:r>
        <w:fldChar w:fldCharType="begin"/>
      </w:r>
      <w:r>
        <w:instrText xml:space="preserve"> PAGEREF _Toc13627 \h </w:instrText>
      </w:r>
      <w:r>
        <w:fldChar w:fldCharType="separate"/>
      </w:r>
      <w:r>
        <w:t>9</w:t>
      </w:r>
      <w:r>
        <w:fldChar w:fldCharType="end"/>
      </w:r>
      <w:r>
        <w:rPr>
          <w:rFonts w:hint="default"/>
          <w:lang w:val="en-US"/>
        </w:rPr>
        <w:fldChar w:fldCharType="end"/>
      </w:r>
    </w:p>
    <w:p w14:paraId="36033D9F">
      <w:pPr>
        <w:pStyle w:val="4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fldChar w:fldCharType="end"/>
      </w:r>
    </w:p>
    <w:p w14:paraId="11B118D0">
      <w:pPr>
        <w:pStyle w:val="4"/>
        <w:bidi w:val="0"/>
        <w:ind w:left="0" w:leftChars="0" w:firstLine="0" w:firstLineChars="0"/>
        <w:rPr>
          <w:rFonts w:hint="default"/>
          <w:lang w:val="en-US"/>
        </w:rPr>
      </w:pPr>
    </w:p>
    <w:p w14:paraId="6A2C44C8">
      <w:pPr>
        <w:pStyle w:val="152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p w14:paraId="565CE8AB">
      <w:pPr>
        <w:pStyle w:val="3"/>
        <w:bidi w:val="0"/>
        <w:rPr>
          <w:rFonts w:hint="default"/>
          <w:lang w:val="ru-RU"/>
        </w:rPr>
      </w:pPr>
      <w:bookmarkStart w:id="0" w:name="_Toc2923"/>
      <w:r>
        <w:rPr>
          <w:rFonts w:hint="default"/>
          <w:lang w:val="ru-RU"/>
        </w:rPr>
        <w:t>Глава 1. Объект исследования</w:t>
      </w:r>
      <w:bookmarkEnd w:id="0"/>
    </w:p>
    <w:p w14:paraId="40EF4898">
      <w:pPr>
        <w:pStyle w:val="4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Суматриптан — это селективный агонист серотониновых рецепторов, относящийся к классу триптановых препаратов. Он применяется для купирования острых приступов мигрени и кластерных головных болей. Суматриптан был первым представителем триптанов, одобренным для клинического использования в 1991 году, и до сих пор остаётся одним из наиболее часто назначаемых средств для лечения мигрени.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>Фармакологическое действие суматриптана основано на сужении расширенных церебральных сосудов через активацию 5-HT1B рецепторов и подавлении выделения воспалительных нейропептидов из тройничного нерва через 5-HT1D рецепторы. Препарат доступен в различных формах: таблетки для перорального приёма, назальный спрей, подкожные инъекции, что позволяет адаптировать терапию к индивидуальным потребностям пациентов.</w:t>
      </w:r>
    </w:p>
    <w:p w14:paraId="19DFA1C3">
      <w:pPr>
        <w:pStyle w:val="4"/>
        <w:bidi w:val="0"/>
        <w:rPr>
          <w:rFonts w:hint="default"/>
          <w:lang w:val="ru-RU"/>
        </w:rPr>
      </w:pPr>
      <w:r>
        <w:rPr>
          <w:rFonts w:hint="default"/>
          <w:lang w:val="en-US"/>
        </w:rPr>
        <w:t>Структурно суматриптан содержит индольное ядро, характерное для триптанов, с сульфонамидной группой и этиламиновым фрагментом.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>Конформационная гибкость молекулы и способность образовывать внутримолекулярные водородные связи влияют на её фармакологические свойства и метаболизм. Суматриптан метаболизируется преимущественно моноаминоксидазой А (МАО-А), что требует осторожности при совместном применении с ингибиторами МАО.</w:t>
      </w:r>
      <w:r>
        <w:rPr>
          <w:rFonts w:hint="default"/>
          <w:lang w:val="ru-RU"/>
        </w:rPr>
        <w:t xml:space="preserve"> </w:t>
      </w:r>
    </w:p>
    <w:p w14:paraId="5527EE9B">
      <w:pPr>
        <w:pStyle w:val="4"/>
        <w:bidi w:val="0"/>
        <w:spacing w:line="240" w:lineRule="auto"/>
        <w:ind w:left="0" w:leftChars="0" w:firstLine="0" w:firstLineChars="0"/>
        <w:jc w:val="center"/>
      </w:pPr>
      <w:r>
        <w:drawing>
          <wp:inline distT="0" distB="0" distL="114300" distR="114300">
            <wp:extent cx="4145280" cy="2758440"/>
            <wp:effectExtent l="0" t="0" r="7620" b="10160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F29CB">
      <w:pPr>
        <w:pStyle w:val="4"/>
        <w:bidi w:val="0"/>
        <w:ind w:left="0" w:leftChars="0" w:firstLine="0" w:firstLineChars="0"/>
        <w:jc w:val="center"/>
        <w:rPr>
          <w:rFonts w:hint="default"/>
          <w:sz w:val="24"/>
          <w:szCs w:val="18"/>
          <w:lang w:val="ru-RU"/>
        </w:rPr>
      </w:pPr>
      <w:r>
        <w:rPr>
          <w:sz w:val="24"/>
          <w:szCs w:val="18"/>
          <w:lang w:val="ru-RU"/>
        </w:rPr>
        <w:t>Рисунок</w:t>
      </w:r>
      <w:r>
        <w:rPr>
          <w:rFonts w:hint="default"/>
          <w:sz w:val="24"/>
          <w:szCs w:val="18"/>
          <w:lang w:val="ru-RU"/>
        </w:rPr>
        <w:t xml:space="preserve"> 1 - Молекула суматриптана.</w:t>
      </w:r>
    </w:p>
    <w:p w14:paraId="3ADCF485">
      <w:pPr>
        <w:pStyle w:val="4"/>
        <w:bidi w:val="0"/>
        <w:rPr>
          <w:rFonts w:hint="default"/>
          <w:lang w:val="ru-RU"/>
        </w:rPr>
      </w:pPr>
      <w:r>
        <w:rPr>
          <w:rFonts w:hint="default"/>
          <w:lang w:val="en-US"/>
        </w:rPr>
        <w:t xml:space="preserve">В исследованиях с использованием методов квантовой химии и молекулярного моделирования </w:t>
      </w:r>
      <w:r>
        <w:rPr>
          <w:rFonts w:hint="default"/>
          <w:lang w:val="ru-RU"/>
        </w:rPr>
        <w:t xml:space="preserve">можно </w:t>
      </w:r>
      <w:r>
        <w:rPr>
          <w:rFonts w:hint="default"/>
          <w:lang w:val="en-US"/>
        </w:rPr>
        <w:t>изуча</w:t>
      </w:r>
      <w:r>
        <w:rPr>
          <w:rFonts w:hint="default"/>
          <w:lang w:val="ru-RU"/>
        </w:rPr>
        <w:t>ть</w:t>
      </w:r>
      <w:r>
        <w:rPr>
          <w:rFonts w:hint="default"/>
          <w:lang w:val="en-US"/>
        </w:rPr>
        <w:t xml:space="preserve"> конформационные особенности суматриптана, его взаимодействие с серотониновыми рецепторами и спектральные характеристики для разработки более эффективных аналогов.</w:t>
      </w:r>
      <w:r>
        <w:rPr>
          <w:rFonts w:hint="default"/>
          <w:lang w:val="ru-RU"/>
        </w:rPr>
        <w:t xml:space="preserve"> </w:t>
      </w:r>
    </w:p>
    <w:p w14:paraId="57B2122C">
      <w:pPr>
        <w:pStyle w:val="4"/>
        <w:bidi w:val="0"/>
        <w:rPr>
          <w:rFonts w:hint="default"/>
          <w:lang w:val="en-US"/>
        </w:rPr>
      </w:pPr>
    </w:p>
    <w:p w14:paraId="4180F7D0">
      <w:pPr>
        <w:pStyle w:val="4"/>
        <w:bidi w:val="0"/>
        <w:rPr>
          <w:rFonts w:hint="default"/>
          <w:lang w:val="en-US"/>
        </w:rPr>
      </w:pPr>
    </w:p>
    <w:p w14:paraId="69909E40">
      <w:pPr>
        <w:pStyle w:val="4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p w14:paraId="04995493">
      <w:pPr>
        <w:pStyle w:val="3"/>
        <w:bidi w:val="0"/>
        <w:rPr>
          <w:rFonts w:hint="default"/>
          <w:lang w:val="ru-RU"/>
        </w:rPr>
      </w:pPr>
      <w:bookmarkStart w:id="1" w:name="_Toc28597"/>
      <w:r>
        <w:rPr>
          <w:rFonts w:hint="default"/>
          <w:lang w:val="en-US"/>
        </w:rPr>
        <w:t xml:space="preserve">Глава 2. Программно-аппаратная база </w:t>
      </w:r>
      <w:r>
        <w:rPr>
          <w:rFonts w:hint="default"/>
          <w:lang w:val="ru-RU"/>
        </w:rPr>
        <w:t>исследования</w:t>
      </w:r>
      <w:bookmarkEnd w:id="1"/>
    </w:p>
    <w:p w14:paraId="2B39A0EC">
      <w:pPr>
        <w:pStyle w:val="5"/>
        <w:bidi w:val="0"/>
        <w:rPr>
          <w:rFonts w:hint="default"/>
          <w:lang w:val="en-US"/>
        </w:rPr>
      </w:pPr>
      <w:bookmarkStart w:id="2" w:name="_Toc5014"/>
      <w:r>
        <w:rPr>
          <w:rFonts w:hint="default"/>
          <w:lang w:val="en-US"/>
        </w:rPr>
        <w:t>2.1. Рабочая среда WSL2</w:t>
      </w:r>
      <w:bookmarkEnd w:id="2"/>
    </w:p>
    <w:p w14:paraId="1961A1C1">
      <w:pPr>
        <w:pStyle w:val="4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WSL2 (Windows Subsystem for Linux 2) — это архитектурное обновление оригинального WSL, разработанное Microsoft для интеграции полнофункционального ядра Linux в среду Windows 10 и Windows 11. В отличие от WSL1, которая эмулировала системные вызовы Linux, WSL2 запускает реальное ядро Linux в легковесной виртуальной машине, обеспечивая почти нативную производительность и полную совместимость с системными вызовами Linux.</w:t>
      </w:r>
    </w:p>
    <w:p w14:paraId="4CA3272B">
      <w:pPr>
        <w:pStyle w:val="4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Ключевые преимущества WSL2 включают: значительное увеличение скорости операций ввода-вывода (в 3–5 раз быстрее, чем WSL1), полную поддержку Docker, системных демонов и фоновых процессов, а также возможность запуска контейнеров Linux непосредственно из Windows. WSL2 использует технологию Hyper-V для виртуализации, но оптимизирована для минимального потребления ресурсов, что делает её идеальной для разработчиков, исследователей и студентов, которым необходим одновременный доступ к экосистемам Windows и Linux.</w:t>
      </w:r>
    </w:p>
    <w:p w14:paraId="2429B715">
      <w:pPr>
        <w:pStyle w:val="4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В научных и инженерных приложениях WSL2 особенно ценна для запуска специализированного программного обеспечения для квантовой химии (ORCA, Gaussian, Quantum ESPRESSO), биоинформатики (GROMACS, BLAST) и машинного обучения (TensorFlow, PyTorch), которые традиционно разрабатывались для Linux-сред. Она устраняет необходимость в двойной загрузке или использовании полноценных виртуальных машин, предоставляя бесшовную интеграцию между файловыми системами Windows и Linux.</w:t>
      </w:r>
    </w:p>
    <w:p w14:paraId="76534B54">
      <w:pPr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p w14:paraId="4D913A43">
      <w:pPr>
        <w:pStyle w:val="5"/>
        <w:bidi w:val="0"/>
        <w:rPr>
          <w:rFonts w:hint="default"/>
          <w:lang w:val="en-US"/>
        </w:rPr>
      </w:pPr>
      <w:bookmarkStart w:id="3" w:name="_Toc31138"/>
      <w:r>
        <w:rPr>
          <w:rFonts w:hint="default"/>
          <w:lang w:val="en-US"/>
        </w:rPr>
        <w:t>2.2. Программы для квантово-химических расчётов</w:t>
      </w:r>
      <w:bookmarkEnd w:id="3"/>
      <w:r>
        <w:rPr>
          <w:rFonts w:hint="default"/>
          <w:lang w:val="en-US"/>
        </w:rPr>
        <w:t xml:space="preserve"> </w:t>
      </w:r>
    </w:p>
    <w:p w14:paraId="6A61C987">
      <w:pPr>
        <w:pStyle w:val="4"/>
        <w:bidi w:val="0"/>
        <w:rPr>
          <w:rFonts w:hint="default"/>
          <w:lang w:val="ru-RU"/>
        </w:rPr>
      </w:pPr>
      <w:r>
        <w:rPr>
          <w:rFonts w:hint="default"/>
        </w:rPr>
        <w:t>Оптимизацию геометрии и поиск конформеров проводили с использованием программного комплекса CREST, который обеспечивает эффективный скрининг конформационного пространства с учётом эффектов растворителя и позволяет получать структуры, близкие к глобальным минимумам энергии.</w:t>
      </w:r>
      <w:r>
        <w:rPr>
          <w:rFonts w:hint="default"/>
          <w:lang w:val="ru-RU"/>
        </w:rPr>
        <w:t xml:space="preserve"> </w:t>
      </w:r>
    </w:p>
    <w:p w14:paraId="71C06955">
      <w:pPr>
        <w:pStyle w:val="4"/>
        <w:bidi w:val="0"/>
        <w:rPr>
          <w:rFonts w:hint="default"/>
          <w:lang w:val="en-US"/>
        </w:rPr>
      </w:pPr>
      <w:r>
        <w:rPr>
          <w:rFonts w:hint="default"/>
        </w:rPr>
        <w:t>CREST (Conformer-Rotamer Ensemble Sampling Tool) — это современная программа для конформационного поиска и анализа молекулярных структур, разработанная в группе профессора Стефана Гримме в Боннском университете. Как расширение полуэмпирического квантово-химического пакета xTB (extended Tight-Binding), CREST специализируется на эффективном нахождении конформационных изомеров (конформеров) молекулярных систем.</w:t>
      </w:r>
      <w:r>
        <w:rPr>
          <w:rFonts w:hint="default"/>
          <w:lang w:val="en-US"/>
        </w:rPr>
        <w:t xml:space="preserve"> </w:t>
      </w:r>
    </w:p>
    <w:p w14:paraId="7ECF4D3C">
      <w:pPr>
        <w:pStyle w:val="4"/>
        <w:bidi w:val="0"/>
        <w:rPr>
          <w:rFonts w:hint="default"/>
          <w:lang w:val="en-US"/>
        </w:rPr>
      </w:pPr>
      <w:r>
        <w:rPr>
          <w:rFonts w:hint="default"/>
        </w:rPr>
        <w:t>Основу методологии CREST составляет комбинация нескольких вычислительных подходов. Программа использует метод метадинамики для преодоления энергетических барьеров и исследования различных конформационных состояний, генерацию конформеров на основе молекулярной механики для быстрого скрининга конформационного пространства, полуэмпирическую оптимизацию для уточнения геометрии с помощью методов xTB, а также кластеризацию по RMSD для группировки структурно схожих конформеров. По сравнению с классическими методами конформационного поиска, такими как систематический поиск или молекулярная динамика, CREST предлагает существенные преимущества: высокая эффективность благодаря использованию полуэмпирических методов, значительная степень автоматизации с минимальным вмешательством пользователя, возможность моделирования в различных средах с учетом растворителя, а также определение энергий свободных энергий, что критически важно для предсказания популяций конформеров.</w:t>
      </w:r>
      <w:r>
        <w:rPr>
          <w:rFonts w:hint="default"/>
          <w:lang w:val="en-US"/>
        </w:rPr>
        <w:t xml:space="preserve"> </w:t>
      </w:r>
    </w:p>
    <w:p w14:paraId="23DA78CC">
      <w:pPr>
        <w:pStyle w:val="4"/>
        <w:bidi w:val="0"/>
        <w:rPr>
          <w:rFonts w:hint="default"/>
          <w:lang w:val="en-US"/>
        </w:rPr>
      </w:pPr>
      <w:r>
        <w:rPr>
          <w:rFonts w:hint="default"/>
        </w:rPr>
        <w:t>Практические применения CREST охватывают различные области молекулярного моделирования. В фармацевтическом дизайне программа используется для идентификации биологически активных конформаций, предсказания относительных популяций конформеров при физиологических условиях и анализа гибкости молекулярных структур. Например, в исследовании ингибиторов NEK4 CREST применялся для определения наиболее стабильных конформаций производных Spautin-1, что позволило установить важные зависимости "структура-активность". В спектроскопических приложениях программа незаменима для интерпретации экспериментальных данных: предсказания ИК- и Раман-спектров различных конформеров, учета температурных эффектов через болцмановское усреднение и анализа влияния конформационных изменений на спектральные характеристики. Кроме того, CREST позволяет детально изучать внутримолекулярные взаимодействия, включая водородные связи, стереоэлектронные эффекты и ван-дер-ваальсовы взаимодействия.</w:t>
      </w:r>
      <w:r>
        <w:rPr>
          <w:rFonts w:hint="default"/>
          <w:lang w:val="en-US"/>
        </w:rPr>
        <w:t xml:space="preserve"> </w:t>
      </w:r>
    </w:p>
    <w:p w14:paraId="1271C949">
      <w:pPr>
        <w:pStyle w:val="4"/>
        <w:bidi w:val="0"/>
        <w:rPr>
          <w:rFonts w:hint="default"/>
          <w:lang w:val="en-US"/>
        </w:rPr>
      </w:pPr>
      <w:r>
        <w:rPr>
          <w:rFonts w:hint="default"/>
        </w:rPr>
        <w:t>Типичный рабочий процесс с CREST включает несколько этапов: подготовку входной структуры путем получения начальной геометрии из баз данных вроде PubChem или построения в программах визуализации, запуск конформационного поиска с указанием параметров среды, анализ результатов с кластеризацией конформеров и определением относительных энергий, а также пост-обработку с усреднением свойств с учетом бол</w:t>
      </w:r>
      <w:r>
        <w:rPr>
          <w:rFonts w:hint="default"/>
          <w:lang w:val="ru-RU"/>
        </w:rPr>
        <w:t>ь</w:t>
      </w:r>
      <w:r>
        <w:rPr>
          <w:rFonts w:hint="default"/>
        </w:rPr>
        <w:t>цмановских весов. Ключевые параметры, влияющие на результаты расчетов, включают температуру (влияет на распределение Больцмана), параметры растворителя (учет сольватационных эффектов), порог энергии (отсечение высокоэнергетических конформеров) и настройки кластеризации (критерии схожести структур).</w:t>
      </w:r>
      <w:r>
        <w:rPr>
          <w:rFonts w:hint="default"/>
          <w:lang w:val="en-US"/>
        </w:rPr>
        <w:t xml:space="preserve"> </w:t>
      </w:r>
    </w:p>
    <w:p w14:paraId="335D28A4">
      <w:pPr>
        <w:pStyle w:val="4"/>
        <w:rPr>
          <w:rFonts w:hint="default"/>
          <w:lang w:val="en-US"/>
        </w:rPr>
      </w:pPr>
      <w:r>
        <w:rPr>
          <w:rFonts w:hint="default"/>
        </w:rPr>
        <w:t>Сравнительные исследования демонстрируют преимущества CREST перед альтернативными методами. По данным Pracht и соавторов, программа обеспечивает более полный охват конформационного пространства по сравнению с систематическим поиском, высокую точность при определении относительных энергий и эффективность для молекул с 10-100 атомами. Однако метод имеет и определенные ограничения: ограниченная точность для систем с сильными корреляционными эффектами, высокая вычислительная стоимость для очень больших систем (свыше 200 атомов) и определенные сложности в описании специфических межмолекулярных взаимодействий. Перспективные направления развития CREST включают интеграцию с методами машинного обучения, улучшение описания сольватационных эффектов и расширение функциональности для работы с биомакромолекулами.</w:t>
      </w:r>
    </w:p>
    <w:p w14:paraId="1FA3809D">
      <w:pPr>
        <w:pStyle w:val="4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Расчёт колебательных спектров выполняли в программе ORCA, специализированном пакете для квантово-химических расчётов, поддерживающем методы теории функционала плотности и позволяющем получать надёжные спектроскопические данные, включая интенсивности Раман-активных мод.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>ORCA — это мощная квантово-химическая программа, разработанная в группе профессора Франка Ниса (Frank Neese) в Институте Макса Планка. Она предназначена для расчётов электронной структуры молекул и твёрдых тел, поддерживая широкий спектр методов теории функционала плотности (DFT), теории возмущений (MP2, CCSD(T)) и многоконфигурационных подходов (CASSCF, NEVPT2). ORCA особенно известна своей эффективностью в расчётах магнитных свойств, спектроскопии (EPR, NMR, оптическая и колебательная спектроскопия) и исследовании механизмов химических реакций.</w:t>
      </w:r>
    </w:p>
    <w:p w14:paraId="3E0677ED">
      <w:pPr>
        <w:pStyle w:val="4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Программа отличается высокой оптимизацией параллельных вычислений и способностью работать с крупными системами (сотни атомов). Она реализует современные методы расчёта, такие как DLPNO-CCSD(T), позволяющие проводить точные корреляционные расчёты для больших молекул с приемлемыми вычислительными затратами. ORCA также поддерживает расчёты с учётом эффектов растворителя (CPCM, SMD) и обладает встроенными возможностями для анализа электронной структуры (плотности зарядов, спиновые плотности, молекулярные орбитали).</w:t>
      </w:r>
    </w:p>
    <w:p w14:paraId="46064687">
      <w:pPr>
        <w:pStyle w:val="4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В научной литературе ORCA широко используется для расчётов спектров ЯМР и ЭПР, предсказания механизмов каталитических реакций, исследования магнитных свойств молекулярных магнетиков и расчётов энергии связывания в супрамолекулярных системах. Её гибкость и точность делают ORCA одним из основных инструментов в современных квантово-химических исследованиях как в академической науке, так и в промышленных приложениях.</w:t>
      </w:r>
    </w:p>
    <w:p w14:paraId="07963A84">
      <w:pPr>
        <w:pStyle w:val="5"/>
        <w:bidi w:val="0"/>
        <w:rPr>
          <w:rFonts w:hint="default"/>
          <w:lang w:val="en-US"/>
        </w:rPr>
      </w:pPr>
      <w:bookmarkStart w:id="4" w:name="_Toc18081"/>
      <w:r>
        <w:rPr>
          <w:rFonts w:hint="default"/>
          <w:lang w:val="en-US"/>
        </w:rPr>
        <w:t>2.3. Инструмент визуализации и анализа ChemCraft</w:t>
      </w:r>
      <w:bookmarkEnd w:id="4"/>
    </w:p>
    <w:p w14:paraId="101462E8">
      <w:pPr>
        <w:pStyle w:val="4"/>
        <w:bidi w:val="0"/>
        <w:rPr>
          <w:rFonts w:hint="default"/>
        </w:rPr>
      </w:pPr>
      <w:r>
        <w:rPr>
          <w:rFonts w:hint="default"/>
          <w:lang w:val="en-US"/>
        </w:rPr>
        <w:t xml:space="preserve">Визуализацию полученных конформационных изомеров и анализ рассчитанных рамановских спектров проводили с использованием программы ChemCraft, что позволило наглядно представить геометрические различия структур и провести качественное сопоставление спектральных характеристик. </w:t>
      </w:r>
      <w:r>
        <w:rPr>
          <w:rFonts w:hint="default"/>
        </w:rPr>
        <w:t>ChemCraft — это специализированная программа для визуализации и анализа результатов квантово-химических расчётов, разработанная командой под руководством Георгия Журавлёва. Она предоставляет удобный графический интерфейс для работы с выходными файлами таких программ, как Gaussian, ORCA, GAMESS, Firefly и других популярных пакетов для расчётов электронной структуры. ChemCraft поддерживает визуализацию молекулярных структур, орбиталей, электронных плотностей, спектров (ИК, КР, УФ-видимая, ЯМР), а также анализ геометрии, колебательных мод и термохимических данных.</w:t>
      </w:r>
    </w:p>
    <w:p w14:paraId="669E3DDE">
      <w:pPr>
        <w:pStyle w:val="4"/>
        <w:bidi w:val="0"/>
        <w:rPr>
          <w:rFonts w:hint="default"/>
        </w:rPr>
      </w:pPr>
      <w:r>
        <w:rPr>
          <w:rFonts w:hint="default"/>
        </w:rPr>
        <w:t>Одной из ключевых особенностей ChemCraft является возможность построения и сравнения спектров разных соединений, наложения экспериментальных и расчётных данных, а также автоматической аннотации пиков. Программа позволяет редактировать молекулярные структуры, задавать параметры расчётов и генерировать входные файлы для квантово-химических программ. Поддерживаются различные форматы молекулярных координат (XYZ, PDB, MOL) и расчётных данных.</w:t>
      </w:r>
    </w:p>
    <w:p w14:paraId="670622A5">
      <w:pPr>
        <w:pStyle w:val="4"/>
        <w:bidi w:val="0"/>
        <w:rPr>
          <w:rFonts w:hint="default"/>
        </w:rPr>
      </w:pPr>
      <w:r>
        <w:rPr>
          <w:rFonts w:hint="default"/>
        </w:rPr>
        <w:t>ChemCraft широко используется в научных исследованиях для анализа спектроскопических данных, визуализации молекулярных орбиталей и электронных переходов, изучения механизмов химических реакций через анализ поверхности потенциальной энергии. Программа особенно полезна для интерпретации результатов расчётов методом функционала плотности (DFT) и теории возмущений, а также для подготовки графических материалов к научным публикациям.</w:t>
      </w:r>
    </w:p>
    <w:p w14:paraId="1F1D15B5">
      <w:pPr>
        <w:pStyle w:val="3"/>
        <w:bidi w:val="0"/>
      </w:pPr>
      <w:bookmarkStart w:id="5" w:name="_Toc17838"/>
      <w:r>
        <w:rPr>
          <w:rFonts w:hint="default"/>
        </w:rPr>
        <w:t>Глава 3. Результаты и их обсуждение</w:t>
      </w:r>
      <w:bookmarkEnd w:id="5"/>
    </w:p>
    <w:p w14:paraId="587CF734">
      <w:pPr>
        <w:pStyle w:val="5"/>
        <w:bidi w:val="0"/>
        <w:rPr>
          <w:rFonts w:hint="default"/>
        </w:rPr>
      </w:pPr>
      <w:bookmarkStart w:id="6" w:name="_Toc11289"/>
      <w:r>
        <w:rPr>
          <w:rFonts w:hint="default"/>
        </w:rPr>
        <w:t>3.1. Конформационный анализ суматриптана методом CREST</w:t>
      </w:r>
      <w:bookmarkEnd w:id="6"/>
    </w:p>
    <w:p w14:paraId="0CCC8D21">
      <w:pPr>
        <w:pStyle w:val="4"/>
        <w:bidi w:val="0"/>
        <w:rPr>
          <w:rFonts w:hint="default"/>
          <w:lang w:val="ru-RU"/>
        </w:rPr>
        <w:sectPr>
          <w:footerReference r:id="rId3" w:type="default"/>
          <w:pgSz w:w="11906" w:h="16838"/>
          <w:pgMar w:top="1134" w:right="850" w:bottom="1134" w:left="1701" w:header="720" w:footer="720" w:gutter="0"/>
          <w:pgNumType w:fmt="decimal" w:start="2"/>
          <w:cols w:space="0" w:num="1"/>
          <w:rtlGutter w:val="0"/>
          <w:docGrid w:linePitch="360" w:charSpace="0"/>
        </w:sectPr>
      </w:pPr>
      <w:r>
        <w:rPr>
          <w:rFonts w:hint="default"/>
        </w:rPr>
        <w:t>Для исследования конформационного пространства суматриптана был проведён полный конформационный поиск с использованием программы CREST, основанной на полуэмпирическом методе GFN-xTB. В результате было получено 805 уникальных конформеров, что свидетельствует о значительной гибкости молекулы, обусловленной наличием вращающихся связей в алкиламиновом фрагменте и сульфонамидной группе.</w:t>
      </w:r>
      <w:r>
        <w:rPr>
          <w:rFonts w:hint="default"/>
          <w:lang w:val="ru-RU"/>
        </w:rPr>
        <w:t xml:space="preserve"> На рисунках 2 и 3 представлены некоторые найденные конформеры.</w:t>
      </w:r>
    </w:p>
    <w:p w14:paraId="2626595D">
      <w:pPr>
        <w:pStyle w:val="4"/>
        <w:bidi w:val="0"/>
        <w:ind w:left="0" w:leftChars="0" w:firstLine="0" w:firstLineChars="0"/>
        <w:jc w:val="center"/>
      </w:pPr>
      <w:r>
        <w:drawing>
          <wp:inline distT="0" distB="0" distL="114300" distR="114300">
            <wp:extent cx="2630805" cy="2181860"/>
            <wp:effectExtent l="0" t="0" r="10795" b="2540"/>
            <wp:docPr id="10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C28CE">
      <w:pPr>
        <w:pStyle w:val="4"/>
        <w:bidi w:val="0"/>
        <w:ind w:left="0" w:leftChars="0" w:firstLine="0" w:firstLineChars="0"/>
        <w:jc w:val="center"/>
        <w:rPr>
          <w:rFonts w:hint="default"/>
          <w:lang w:val="ru-RU"/>
        </w:rPr>
      </w:pPr>
      <w:r>
        <w:rPr>
          <w:lang w:val="ru-RU"/>
        </w:rPr>
        <w:t>Рисунок</w:t>
      </w:r>
      <w:r>
        <w:rPr>
          <w:rFonts w:hint="default"/>
          <w:lang w:val="ru-RU"/>
        </w:rPr>
        <w:t xml:space="preserve"> 2 </w:t>
      </w:r>
      <w:r>
        <w:rPr>
          <w:rFonts w:hint="eastAsia" w:ascii="SimSun" w:hAnsi="SimSun" w:eastAsia="SimSun" w:cs="SimSun"/>
          <w:lang w:val="ru-RU"/>
        </w:rPr>
        <w:t>－</w:t>
      </w:r>
      <w:r>
        <w:rPr>
          <w:rFonts w:hint="default" w:ascii="SimSun"/>
          <w:lang w:val="ru-RU"/>
        </w:rPr>
        <w:t xml:space="preserve"> Конформер </w:t>
      </w:r>
      <w:r>
        <w:rPr>
          <w:rFonts w:hint="default" w:ascii="Times New Roman" w:hAnsi="Times New Roman" w:cs="Times New Roman"/>
          <w:lang w:val="ru-RU"/>
        </w:rPr>
        <w:t>1</w:t>
      </w:r>
    </w:p>
    <w:p w14:paraId="48838762">
      <w:pPr>
        <w:pStyle w:val="4"/>
        <w:bidi w:val="0"/>
        <w:ind w:left="-400" w:leftChars="-200" w:firstLine="0" w:firstLineChars="0"/>
        <w:jc w:val="center"/>
        <w:rPr>
          <w:rFonts w:hint="default"/>
        </w:rPr>
      </w:pPr>
      <w:r>
        <w:drawing>
          <wp:inline distT="0" distB="0" distL="114300" distR="114300">
            <wp:extent cx="1993900" cy="2152650"/>
            <wp:effectExtent l="0" t="0" r="0" b="6350"/>
            <wp:docPr id="11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D6AFC">
      <w:pPr>
        <w:pStyle w:val="4"/>
        <w:bidi w:val="0"/>
        <w:ind w:left="0" w:leftChars="0" w:firstLine="599" w:firstLineChars="214"/>
        <w:rPr>
          <w:rFonts w:hint="default"/>
          <w:sz w:val="28"/>
          <w:szCs w:val="28"/>
          <w:lang w:val="ru-RU"/>
        </w:rPr>
        <w:sectPr>
          <w:type w:val="continuous"/>
          <w:pgSz w:w="11906" w:h="16838"/>
          <w:pgMar w:top="1134" w:right="850" w:bottom="1134" w:left="1701" w:header="720" w:footer="720" w:gutter="0"/>
          <w:pgNumType w:fmt="decimal"/>
          <w:cols w:equalWidth="0" w:num="2">
            <w:col w:w="4465" w:space="425"/>
            <w:col w:w="4465"/>
          </w:cols>
          <w:rtlGutter w:val="0"/>
          <w:docGrid w:linePitch="360" w:charSpace="0"/>
        </w:sectPr>
      </w:pPr>
      <w:r>
        <w:rPr>
          <w:rFonts w:hint="default"/>
          <w:sz w:val="28"/>
          <w:szCs w:val="28"/>
          <w:lang w:val="ru-RU"/>
        </w:rPr>
        <w:t xml:space="preserve">Рисунок 3 </w:t>
      </w:r>
      <w:r>
        <w:rPr>
          <w:rFonts w:hint="eastAsia" w:ascii="SimSun" w:hAnsi="SimSun" w:eastAsia="SimSun" w:cs="SimSun"/>
          <w:sz w:val="28"/>
          <w:szCs w:val="28"/>
          <w:lang w:val="ru-RU"/>
        </w:rPr>
        <w:t>－</w:t>
      </w:r>
      <w:r>
        <w:rPr>
          <w:rFonts w:hint="default"/>
          <w:sz w:val="28"/>
          <w:szCs w:val="28"/>
          <w:lang w:val="ru-RU"/>
        </w:rPr>
        <w:t>Конформер 2</w:t>
      </w:r>
    </w:p>
    <w:p w14:paraId="25C2E76D">
      <w:pPr>
        <w:pStyle w:val="4"/>
        <w:bidi w:val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ru-RU"/>
        </w:rPr>
      </w:pPr>
      <w:r>
        <w:rPr>
          <w:rFonts w:hint="default"/>
        </w:rPr>
        <w:t>Для анализа полученного ансамбля конформеров была проведена кластеризация методом K-means. Оптимальное число кластеров (K = 4) было определено методом локтя</w:t>
      </w:r>
      <w:r>
        <w:rPr>
          <w:rStyle w:val="153"/>
          <w:rFonts w:hint="default"/>
          <w:lang w:val="ru-RU"/>
        </w:rPr>
        <w:t xml:space="preserve">. </w:t>
      </w:r>
      <w:r>
        <w:rPr>
          <w:rStyle w:val="153"/>
        </w:rPr>
        <w:t xml:space="preserve">Отсутствие выраженного перелома на графике метода локтя (Рисунок </w:t>
      </w:r>
      <w:r>
        <w:rPr>
          <w:rStyle w:val="153"/>
          <w:rFonts w:hint="default"/>
          <w:lang w:val="ru-RU"/>
        </w:rPr>
        <w:t>4</w:t>
      </w:r>
      <w:r>
        <w:rPr>
          <w:rStyle w:val="153"/>
        </w:rPr>
        <w:t>) свидетельствует о плавном энергетическом ландшафте суматриптана, где переходы между конформационными состояниями происходят через множество промежуточных структур без чётких энергетических барьеров.</w:t>
      </w:r>
    </w:p>
    <w:p w14:paraId="68C3612A">
      <w:pPr>
        <w:pStyle w:val="4"/>
        <w:bidi w:val="0"/>
        <w:ind w:left="0" w:leftChars="0" w:firstLine="0" w:firstLineChars="0"/>
        <w:jc w:val="center"/>
        <w:rPr>
          <w:rFonts w:hint="default"/>
        </w:rPr>
      </w:pPr>
      <w:r>
        <w:drawing>
          <wp:inline distT="0" distB="0" distL="114300" distR="114300">
            <wp:extent cx="4151630" cy="2909570"/>
            <wp:effectExtent l="0" t="0" r="1270" b="11430"/>
            <wp:docPr id="8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1630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A58F8">
      <w:pPr>
        <w:pStyle w:val="4"/>
        <w:bidi w:val="0"/>
        <w:ind w:left="0" w:leftChars="0" w:firstLine="0" w:firstLineChars="0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 xml:space="preserve">Рисунок 4 </w:t>
      </w:r>
      <w:r>
        <w:rPr>
          <w:rFonts w:hint="eastAsia" w:ascii="SimSun" w:hAnsi="SimSun" w:eastAsia="SimSun" w:cs="SimSun"/>
          <w:lang w:val="ru-RU"/>
        </w:rPr>
        <w:t>－</w:t>
      </w:r>
      <w:r>
        <w:rPr>
          <w:rFonts w:hint="default"/>
          <w:lang w:val="ru-RU"/>
        </w:rPr>
        <w:t xml:space="preserve"> Метод локтя.</w:t>
      </w:r>
    </w:p>
    <w:p w14:paraId="750F840A">
      <w:pPr>
        <w:pStyle w:val="4"/>
        <w:bidi w:val="0"/>
        <w:spacing w:line="240" w:lineRule="auto"/>
        <w:ind w:left="0" w:leftChars="0" w:firstLine="0" w:firstLineChars="0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 xml:space="preserve">Таблица 1 </w:t>
      </w:r>
      <w:r>
        <w:rPr>
          <w:rFonts w:hint="eastAsia" w:ascii="SimSun" w:hAnsi="SimSun" w:eastAsia="SimSun" w:cs="SimSun"/>
          <w:lang w:val="ru-RU"/>
        </w:rPr>
        <w:t>－</w:t>
      </w:r>
      <w:r>
        <w:rPr>
          <w:rFonts w:hint="default" w:ascii="SimSun" w:hAnsi="SimSun" w:eastAsia="SimSun" w:cs="SimSun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lang w:val="ru-RU"/>
        </w:rPr>
        <w:t>Статистика кластеризации конформеров суматриптана.</w:t>
      </w:r>
    </w:p>
    <w:tbl>
      <w:tblPr>
        <w:tblStyle w:val="1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946"/>
        <w:gridCol w:w="1189"/>
        <w:gridCol w:w="3509"/>
        <w:gridCol w:w="2749"/>
      </w:tblGrid>
      <w:tr w14:paraId="2920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3C785F7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Кластер</w:t>
            </w:r>
          </w:p>
        </w:tc>
        <w:tc>
          <w:tcPr>
            <w:tcW w:w="0" w:type="auto"/>
            <w:vAlign w:val="center"/>
          </w:tcPr>
          <w:p w14:paraId="5E6985A9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Кол-во</w:t>
            </w:r>
          </w:p>
        </w:tc>
        <w:tc>
          <w:tcPr>
            <w:tcW w:w="0" w:type="auto"/>
            <w:vAlign w:val="center"/>
          </w:tcPr>
          <w:p w14:paraId="2DB8B535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Доля, %</w:t>
            </w:r>
          </w:p>
        </w:tc>
        <w:tc>
          <w:tcPr>
            <w:tcW w:w="0" w:type="auto"/>
            <w:vAlign w:val="center"/>
          </w:tcPr>
          <w:p w14:paraId="3BC9FB10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Энергетический диапазон, ккал/моль</w:t>
            </w:r>
          </w:p>
        </w:tc>
        <w:tc>
          <w:tcPr>
            <w:tcW w:w="0" w:type="auto"/>
            <w:vAlign w:val="center"/>
          </w:tcPr>
          <w:p w14:paraId="07640560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Средняя энергия, ккал/моль</w:t>
            </w:r>
          </w:p>
        </w:tc>
      </w:tr>
      <w:tr w14:paraId="1FEC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70D2E60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 w14:paraId="6C7262A2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0" w:type="auto"/>
            <w:vAlign w:val="center"/>
          </w:tcPr>
          <w:p w14:paraId="0CD28128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8.7</w:t>
            </w:r>
          </w:p>
        </w:tc>
        <w:tc>
          <w:tcPr>
            <w:tcW w:w="0" w:type="auto"/>
            <w:vAlign w:val="center"/>
          </w:tcPr>
          <w:p w14:paraId="7910F0FA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0.000–3.251</w:t>
            </w:r>
          </w:p>
        </w:tc>
        <w:tc>
          <w:tcPr>
            <w:tcW w:w="0" w:type="auto"/>
            <w:vAlign w:val="center"/>
          </w:tcPr>
          <w:p w14:paraId="7D9AFE0B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2.752</w:t>
            </w:r>
          </w:p>
        </w:tc>
      </w:tr>
      <w:tr w14:paraId="5A79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10B7786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ACB50AC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316</w:t>
            </w:r>
          </w:p>
        </w:tc>
        <w:tc>
          <w:tcPr>
            <w:tcW w:w="0" w:type="auto"/>
            <w:vAlign w:val="center"/>
          </w:tcPr>
          <w:p w14:paraId="5759154D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39.3</w:t>
            </w:r>
          </w:p>
        </w:tc>
        <w:tc>
          <w:tcPr>
            <w:tcW w:w="0" w:type="auto"/>
            <w:vAlign w:val="center"/>
          </w:tcPr>
          <w:p w14:paraId="4FC6954F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4.250–5.085</w:t>
            </w:r>
          </w:p>
        </w:tc>
        <w:tc>
          <w:tcPr>
            <w:tcW w:w="0" w:type="auto"/>
            <w:vAlign w:val="center"/>
          </w:tcPr>
          <w:p w14:paraId="6BAA5C4F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4.663</w:t>
            </w:r>
          </w:p>
        </w:tc>
      </w:tr>
      <w:tr w14:paraId="3CE3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67828EF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2FE13F3F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195</w:t>
            </w:r>
          </w:p>
        </w:tc>
        <w:tc>
          <w:tcPr>
            <w:tcW w:w="0" w:type="auto"/>
            <w:vAlign w:val="center"/>
          </w:tcPr>
          <w:p w14:paraId="3576F887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24.2</w:t>
            </w:r>
          </w:p>
        </w:tc>
        <w:tc>
          <w:tcPr>
            <w:tcW w:w="0" w:type="auto"/>
            <w:vAlign w:val="center"/>
          </w:tcPr>
          <w:p w14:paraId="07EF4795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3.314–4.234</w:t>
            </w:r>
          </w:p>
        </w:tc>
        <w:tc>
          <w:tcPr>
            <w:tcW w:w="0" w:type="auto"/>
            <w:vAlign w:val="center"/>
          </w:tcPr>
          <w:p w14:paraId="55B90A2E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3.845</w:t>
            </w:r>
          </w:p>
        </w:tc>
      </w:tr>
      <w:tr w14:paraId="7934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8B06C57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4B01DCEF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224</w:t>
            </w:r>
          </w:p>
        </w:tc>
        <w:tc>
          <w:tcPr>
            <w:tcW w:w="0" w:type="auto"/>
            <w:vAlign w:val="center"/>
          </w:tcPr>
          <w:p w14:paraId="30551D19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27.8</w:t>
            </w:r>
          </w:p>
        </w:tc>
        <w:tc>
          <w:tcPr>
            <w:tcW w:w="0" w:type="auto"/>
            <w:vAlign w:val="center"/>
          </w:tcPr>
          <w:p w14:paraId="45DBCEAF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5.096–6.000</w:t>
            </w:r>
          </w:p>
        </w:tc>
        <w:tc>
          <w:tcPr>
            <w:tcW w:w="0" w:type="auto"/>
            <w:vAlign w:val="center"/>
          </w:tcPr>
          <w:p w14:paraId="273CEF4F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>5.527</w:t>
            </w:r>
          </w:p>
        </w:tc>
      </w:tr>
    </w:tbl>
    <w:p w14:paraId="03C988A6">
      <w:pPr>
        <w:pStyle w:val="4"/>
        <w:bidi w:val="0"/>
      </w:pPr>
      <w:r>
        <w:rPr>
          <w:rFonts w:hint="default"/>
        </w:rPr>
        <w:t>Наиболее стабильным является кластер 0, содержащий 70 конформеров (8.7%) с энергиями в диапазоне 0.000–3.251 ккал/моль. Глобальный минимум энергии находится именно в этом кластере. Сравнительно низкая доля наиболее стабильных конформеров (менее 10%) указывает на то, что молекула суматриптана в условиях комнатной температуры существует в виде сложной смеси множества конформационных изомеров.</w:t>
      </w:r>
    </w:p>
    <w:p w14:paraId="0C06A916">
      <w:pPr>
        <w:pStyle w:val="4"/>
        <w:bidi w:val="0"/>
        <w:rPr>
          <w:rFonts w:hint="default"/>
        </w:rPr>
      </w:pPr>
      <w:r>
        <w:rPr>
          <w:rFonts w:hint="default"/>
        </w:rPr>
        <w:t xml:space="preserve">Для наглядной визуализации многомерного конформационного пространства было применено снижение размерности методом t-SNE (t-distributed Stochastic Neighbor Embedding). На полученной двумерной проекции (Рисунок </w:t>
      </w:r>
      <w:r>
        <w:rPr>
          <w:rFonts w:hint="default"/>
          <w:lang w:val="ru-RU"/>
        </w:rPr>
        <w:t>5</w:t>
      </w:r>
      <w:r>
        <w:rPr>
          <w:rFonts w:hint="default"/>
        </w:rPr>
        <w:t>) чётко выделяются четыре кластера, соответствующие результатам K-means анализа. Конформеры внутри каждого кластера демонстрируют высокую структурную схожесть (низкое RMSD), в то время как между кластерами наблюдаются существенные геометрические различия, связанные в первую очередь с ориентацией сульфонамидной группы и конформацией этиламинового фрагмента.</w:t>
      </w:r>
    </w:p>
    <w:p w14:paraId="2FBC21DB">
      <w:pPr>
        <w:pStyle w:val="4"/>
        <w:bidi w:val="0"/>
        <w:ind w:left="0" w:leftChars="0" w:firstLine="0" w:firstLineChars="0"/>
        <w:jc w:val="center"/>
      </w:pPr>
      <w:r>
        <w:drawing>
          <wp:inline distT="0" distB="0" distL="114300" distR="114300">
            <wp:extent cx="3573780" cy="2698115"/>
            <wp:effectExtent l="0" t="0" r="7620" b="6985"/>
            <wp:docPr id="9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04BB0">
      <w:pPr>
        <w:pStyle w:val="4"/>
        <w:bidi w:val="0"/>
        <w:ind w:left="0" w:leftChars="0" w:firstLine="0" w:firstLineChars="0"/>
        <w:jc w:val="center"/>
        <w:rPr>
          <w:rFonts w:hint="default" w:ascii="Times New Roman" w:hAnsi="Times New Roman" w:cs="Times New Roman"/>
          <w:lang w:val="ru-RU"/>
        </w:rPr>
      </w:pPr>
      <w:r>
        <w:rPr>
          <w:lang w:val="ru-RU"/>
        </w:rPr>
        <w:t>Рисунок</w:t>
      </w:r>
      <w:r>
        <w:rPr>
          <w:rFonts w:hint="default"/>
          <w:lang w:val="ru-RU"/>
        </w:rPr>
        <w:t xml:space="preserve"> 5 </w:t>
      </w:r>
      <w:r>
        <w:rPr>
          <w:rFonts w:hint="eastAsia" w:ascii="SimSun" w:hAnsi="SimSun" w:eastAsia="SimSun" w:cs="SimSun"/>
          <w:lang w:val="ru-RU"/>
        </w:rPr>
        <w:t>－</w:t>
      </w:r>
      <w:r>
        <w:rPr>
          <w:rFonts w:hint="default" w:ascii="SimSun"/>
          <w:lang w:val="ru-RU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 xml:space="preserve">t-SNE </w:t>
      </w:r>
      <w:r>
        <w:rPr>
          <w:rFonts w:hint="default" w:ascii="Times New Roman" w:hAnsi="Times New Roman" w:cs="Times New Roman"/>
          <w:lang w:val="ru-RU"/>
        </w:rPr>
        <w:t>визуализация.</w:t>
      </w:r>
    </w:p>
    <w:p w14:paraId="0001ACD6">
      <w:pPr>
        <w:pStyle w:val="5"/>
        <w:bidi w:val="0"/>
      </w:pPr>
      <w:bookmarkStart w:id="7" w:name="_Toc19728"/>
      <w:r>
        <w:rPr>
          <w:rFonts w:hint="default"/>
        </w:rPr>
        <w:t>3.2. Колебательные спектры суматриптана: расчёт и сравнение с экспериментом</w:t>
      </w:r>
      <w:bookmarkEnd w:id="7"/>
    </w:p>
    <w:p w14:paraId="0B910F1F">
      <w:pPr>
        <w:pStyle w:val="4"/>
        <w:bidi w:val="0"/>
      </w:pPr>
      <w:r>
        <w:rPr>
          <w:rFonts w:hint="default"/>
        </w:rPr>
        <w:t>На основе наиболее стабильной конформации (глобальный минимум из кластера 0) были проведены расчёты колебательных спектров двумя методами теории функционала плотности с использованием программы ORCA 5.0:</w:t>
      </w:r>
    </w:p>
    <w:p w14:paraId="155717AB">
      <w:pPr>
        <w:pStyle w:val="4"/>
        <w:numPr>
          <w:ilvl w:val="0"/>
          <w:numId w:val="11"/>
        </w:numPr>
        <w:bidi w:val="0"/>
        <w:ind w:left="420" w:leftChars="0" w:hanging="420" w:firstLineChars="0"/>
      </w:pPr>
      <w:r>
        <w:rPr>
          <w:rFonts w:hint="default"/>
        </w:rPr>
        <w:t>PBE0/def2-TZVP — гибридный функционал с 25% точного обмена</w:t>
      </w:r>
    </w:p>
    <w:p w14:paraId="1848471D">
      <w:pPr>
        <w:pStyle w:val="4"/>
        <w:numPr>
          <w:ilvl w:val="0"/>
          <w:numId w:val="11"/>
        </w:numPr>
        <w:bidi w:val="0"/>
        <w:ind w:left="420" w:leftChars="0" w:hanging="420" w:firstLineChars="0"/>
      </w:pPr>
      <w:r>
        <w:rPr>
          <w:rFonts w:hint="default"/>
        </w:rPr>
        <w:t>B3LYP/def2-TZVP — классический гибридный функционал</w:t>
      </w:r>
    </w:p>
    <w:p w14:paraId="6CDCFEE4">
      <w:pPr>
        <w:pStyle w:val="4"/>
        <w:bidi w:val="0"/>
        <w:rPr>
          <w:rFonts w:hint="default"/>
        </w:rPr>
      </w:pPr>
      <w:r>
        <w:rPr>
          <w:rFonts w:hint="default"/>
        </w:rPr>
        <w:t>Расчёты включали полную оптимизацию геометрии и вычисление вторых производных энергии по координатам ядер (частотный анализ) для подтверждения нахождения структуры в минимуме на поверхности потенциальной энергии.</w:t>
      </w:r>
    </w:p>
    <w:p w14:paraId="3E09D68D">
      <w:pPr>
        <w:pStyle w:val="4"/>
        <w:bidi w:val="0"/>
        <w:rPr>
          <w:rFonts w:hint="default"/>
        </w:rPr>
      </w:pPr>
      <w:r>
        <w:rPr>
          <w:rFonts w:hint="default"/>
        </w:rPr>
        <w:t>Термодинамические параметры (при T = 298.15 K), полученные в результате частотного анализа:</w:t>
      </w:r>
    </w:p>
    <w:p w14:paraId="0771A3B6">
      <w:pPr>
        <w:pStyle w:val="4"/>
        <w:bidi w:val="0"/>
        <w:spacing w:line="240" w:lineRule="auto"/>
        <w:rPr>
          <w:rFonts w:hint="default"/>
          <w:lang w:val="ru-RU"/>
        </w:rPr>
      </w:pPr>
    </w:p>
    <w:p w14:paraId="6E8C4B54">
      <w:pPr>
        <w:pStyle w:val="4"/>
        <w:bidi w:val="0"/>
        <w:spacing w:line="240" w:lineRule="auto"/>
        <w:rPr>
          <w:rFonts w:hint="default"/>
          <w:lang w:val="ru-RU"/>
        </w:rPr>
      </w:pPr>
    </w:p>
    <w:p w14:paraId="519151B5">
      <w:pPr>
        <w:pStyle w:val="4"/>
        <w:bidi w:val="0"/>
        <w:spacing w:line="240" w:lineRule="auto"/>
        <w:rPr>
          <w:rFonts w:hint="default"/>
          <w:lang w:val="ru-RU"/>
        </w:rPr>
      </w:pPr>
    </w:p>
    <w:p w14:paraId="5A570FD1">
      <w:pPr>
        <w:pStyle w:val="4"/>
        <w:bidi w:val="0"/>
        <w:spacing w:line="240" w:lineRule="auto"/>
        <w:rPr>
          <w:rFonts w:hint="default"/>
          <w:lang w:val="ru-RU"/>
        </w:rPr>
      </w:pPr>
    </w:p>
    <w:p w14:paraId="19FFB92E">
      <w:pPr>
        <w:pStyle w:val="4"/>
        <w:bidi w:val="0"/>
        <w:spacing w:line="240" w:lineRule="auto"/>
        <w:rPr>
          <w:rFonts w:hint="default"/>
          <w:lang w:val="ru-RU"/>
        </w:rPr>
      </w:pPr>
    </w:p>
    <w:p w14:paraId="20498E91">
      <w:pPr>
        <w:pStyle w:val="4"/>
        <w:bidi w:val="0"/>
        <w:spacing w:line="240" w:lineRule="auto"/>
        <w:rPr>
          <w:rStyle w:val="153"/>
          <w:rFonts w:hint="default"/>
          <w:lang w:val="ru-RU"/>
        </w:rPr>
      </w:pPr>
      <w:r>
        <w:rPr>
          <w:rFonts w:hint="default"/>
          <w:lang w:val="ru-RU"/>
        </w:rPr>
        <w:t xml:space="preserve">Таблица 2 </w:t>
      </w:r>
      <w:r>
        <w:rPr>
          <w:rFonts w:hint="eastAsia" w:ascii="SimSun" w:hAnsi="SimSun" w:eastAsia="SimSun" w:cs="SimSun"/>
          <w:lang w:val="ru-RU"/>
        </w:rPr>
        <w:t>－</w:t>
      </w:r>
      <w:r>
        <w:rPr>
          <w:rFonts w:hint="default" w:ascii="SimSun" w:hAnsi="SimSun" w:eastAsia="SimSun" w:cs="SimSun"/>
          <w:lang w:val="ru-RU"/>
        </w:rPr>
        <w:t xml:space="preserve"> </w:t>
      </w:r>
      <w:r>
        <w:rPr>
          <w:rStyle w:val="153"/>
        </w:rPr>
        <w:t>Термодинамические параметры</w:t>
      </w:r>
      <w:r>
        <w:rPr>
          <w:rStyle w:val="153"/>
          <w:rFonts w:hint="default"/>
        </w:rPr>
        <w:t> (при T = 298.15 K)</w:t>
      </w:r>
      <w:r>
        <w:rPr>
          <w:rStyle w:val="153"/>
          <w:rFonts w:hint="default"/>
          <w:lang w:val="ru-RU"/>
        </w:rPr>
        <w:t>.</w:t>
      </w:r>
    </w:p>
    <w:tbl>
      <w:tblPr>
        <w:tblStyle w:val="1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2441"/>
        <w:gridCol w:w="2441"/>
      </w:tblGrid>
      <w:tr w14:paraId="20DC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AA0CCE4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Параметр</w:t>
            </w:r>
          </w:p>
        </w:tc>
        <w:tc>
          <w:tcPr>
            <w:tcW w:w="0" w:type="auto"/>
            <w:vAlign w:val="center"/>
          </w:tcPr>
          <w:p w14:paraId="7BE4C316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PBE0/def2-TZVP</w:t>
            </w:r>
          </w:p>
        </w:tc>
        <w:tc>
          <w:tcPr>
            <w:tcW w:w="0" w:type="auto"/>
            <w:vAlign w:val="center"/>
          </w:tcPr>
          <w:p w14:paraId="7013B66B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B3LYP/def2-TZVP</w:t>
            </w:r>
          </w:p>
        </w:tc>
      </w:tr>
      <w:tr w14:paraId="2882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194B6A5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Электронная энергия, Eₑₗ</w:t>
            </w:r>
          </w:p>
        </w:tc>
        <w:tc>
          <w:tcPr>
            <w:tcW w:w="0" w:type="auto"/>
            <w:vAlign w:val="center"/>
          </w:tcPr>
          <w:p w14:paraId="1C546A97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-1257.83361059 Eh</w:t>
            </w:r>
          </w:p>
        </w:tc>
        <w:tc>
          <w:tcPr>
            <w:tcW w:w="0" w:type="auto"/>
            <w:vAlign w:val="center"/>
          </w:tcPr>
          <w:p w14:paraId="6BC233EC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-1258.40312944 Eh</w:t>
            </w:r>
          </w:p>
        </w:tc>
      </w:tr>
      <w:tr w14:paraId="0F2E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92A6F48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Энергия нулевых колебаний, EZPE</w:t>
            </w:r>
          </w:p>
        </w:tc>
        <w:tc>
          <w:tcPr>
            <w:tcW w:w="0" w:type="auto"/>
            <w:vAlign w:val="center"/>
          </w:tcPr>
          <w:p w14:paraId="1E0BC352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223.61 ккал/моль</w:t>
            </w:r>
          </w:p>
        </w:tc>
        <w:tc>
          <w:tcPr>
            <w:tcW w:w="0" w:type="auto"/>
            <w:vAlign w:val="center"/>
          </w:tcPr>
          <w:p w14:paraId="75D825F3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223.39 ккал/моль</w:t>
            </w:r>
          </w:p>
        </w:tc>
      </w:tr>
      <w:tr w14:paraId="580C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9F97A1F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Поправка к энтальпии (ΔH)</w:t>
            </w:r>
          </w:p>
        </w:tc>
        <w:tc>
          <w:tcPr>
            <w:tcW w:w="0" w:type="auto"/>
            <w:vAlign w:val="center"/>
          </w:tcPr>
          <w:p w14:paraId="0705ADBB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7.44 ккал/моль</w:t>
            </w:r>
          </w:p>
        </w:tc>
        <w:tc>
          <w:tcPr>
            <w:tcW w:w="0" w:type="auto"/>
            <w:vAlign w:val="center"/>
          </w:tcPr>
          <w:p w14:paraId="249198FE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7.36 ккал/моль</w:t>
            </w:r>
          </w:p>
        </w:tc>
      </w:tr>
      <w:tr w14:paraId="4536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AACA7C7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Энтропийная поправка (TΔS)</w:t>
            </w:r>
          </w:p>
        </w:tc>
        <w:tc>
          <w:tcPr>
            <w:tcW w:w="0" w:type="auto"/>
            <w:vAlign w:val="center"/>
          </w:tcPr>
          <w:p w14:paraId="2AE79056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32.22 ккал/моль</w:t>
            </w:r>
          </w:p>
        </w:tc>
        <w:tc>
          <w:tcPr>
            <w:tcW w:w="0" w:type="auto"/>
            <w:vAlign w:val="center"/>
          </w:tcPr>
          <w:p w14:paraId="13D136C7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32.19 ккал/моль</w:t>
            </w:r>
          </w:p>
        </w:tc>
      </w:tr>
      <w:tr w14:paraId="256E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BC6899E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Свободная энергия Гиббса, G</w:t>
            </w:r>
          </w:p>
        </w:tc>
        <w:tc>
          <w:tcPr>
            <w:tcW w:w="0" w:type="auto"/>
            <w:vAlign w:val="center"/>
          </w:tcPr>
          <w:p w14:paraId="61B7A57A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-1257.51581283 Eh</w:t>
            </w:r>
          </w:p>
        </w:tc>
        <w:tc>
          <w:tcPr>
            <w:tcW w:w="0" w:type="auto"/>
            <w:vAlign w:val="center"/>
          </w:tcPr>
          <w:p w14:paraId="33577953">
            <w:pPr>
              <w:pStyle w:val="4"/>
              <w:widowControl w:val="0"/>
              <w:bidi w:val="0"/>
              <w:spacing w:line="24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-1258.08576095 Eh</w:t>
            </w:r>
          </w:p>
        </w:tc>
      </w:tr>
    </w:tbl>
    <w:p w14:paraId="2CD2EC13">
      <w:pPr>
        <w:pStyle w:val="4"/>
        <w:bidi w:val="0"/>
        <w:rPr>
          <w:rFonts w:hint="default"/>
          <w:lang w:val="ru-RU"/>
        </w:rPr>
      </w:pPr>
    </w:p>
    <w:p w14:paraId="37E67BB4">
      <w:pPr>
        <w:pStyle w:val="4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Различия в абсолютных значениях энергии между методами (~0.57 Eh или ~357 ккал/моль) обусловлены систематическими погрешностями функционалов. Однако разница в свободной энергии Гиббса между методами составляет всего 0.27 ккал/моль, что свидетельствует о хорошей согласованности термодинамических поправок.</w:t>
      </w:r>
    </w:p>
    <w:p w14:paraId="304FCC36">
      <w:pPr>
        <w:pStyle w:val="4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На основе результатов частотного анализа были построены теоретические Раман-спектры (Рисунки 6 и 7). Оба функционала качественно воспроизводят общую структуру экспериментального спектра суматриптана (Рисунок 8), демонстрируя характерные особенности:</w:t>
      </w:r>
    </w:p>
    <w:p w14:paraId="645F9BAD">
      <w:pPr>
        <w:pStyle w:val="4"/>
        <w:bidi w:val="0"/>
        <w:ind w:left="0" w:leftChars="0" w:firstLine="0" w:firstLineChars="0"/>
        <w:jc w:val="center"/>
      </w:pPr>
      <w:r>
        <w:drawing>
          <wp:inline distT="0" distB="0" distL="114300" distR="114300">
            <wp:extent cx="6062980" cy="2611120"/>
            <wp:effectExtent l="0" t="0" r="0" b="5080"/>
            <wp:docPr id="5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3"/>
                    <pic:cNvPicPr>
                      <a:picLocks noChangeAspect="1"/>
                    </pic:cNvPicPr>
                  </pic:nvPicPr>
                  <pic:blipFill>
                    <a:blip r:embed="rId13"/>
                    <a:srcRect l="39" r="31150" b="35465"/>
                    <a:stretch>
                      <a:fillRect/>
                    </a:stretch>
                  </pic:blipFill>
                  <pic:spPr>
                    <a:xfrm>
                      <a:off x="0" y="0"/>
                      <a:ext cx="6062980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9E11F">
      <w:pPr>
        <w:pStyle w:val="4"/>
        <w:bidi w:val="0"/>
        <w:ind w:left="0" w:leftChars="0" w:firstLine="0" w:firstLineChars="0"/>
        <w:jc w:val="center"/>
        <w:rPr>
          <w:rFonts w:hint="default"/>
          <w:lang w:val="ru-RU"/>
        </w:rPr>
      </w:pPr>
      <w:r>
        <w:rPr>
          <w:lang w:val="ru-RU"/>
        </w:rPr>
        <w:t>Рисунок</w:t>
      </w:r>
      <w:r>
        <w:rPr>
          <w:rFonts w:hint="default"/>
          <w:lang w:val="ru-RU"/>
        </w:rPr>
        <w:t xml:space="preserve"> 6 </w:t>
      </w:r>
      <w:r>
        <w:rPr>
          <w:rFonts w:hint="eastAsia" w:ascii="SimSun" w:hAnsi="SimSun" w:eastAsia="SimSun" w:cs="SimSun"/>
          <w:lang w:val="ru-RU"/>
        </w:rPr>
        <w:t>－</w:t>
      </w:r>
      <w:r>
        <w:rPr>
          <w:lang w:val="ru-RU"/>
        </w:rPr>
        <w:t>Раман</w:t>
      </w:r>
      <w:r>
        <w:rPr>
          <w:rFonts w:hint="default"/>
          <w:lang w:val="ru-RU"/>
        </w:rPr>
        <w:t>-спектр для pbe0 метода.</w:t>
      </w:r>
    </w:p>
    <w:p w14:paraId="51AF158B">
      <w:pPr>
        <w:pStyle w:val="4"/>
        <w:bidi w:val="0"/>
        <w:ind w:left="0" w:leftChars="0" w:firstLine="0" w:firstLineChars="0"/>
        <w:jc w:val="center"/>
      </w:pPr>
    </w:p>
    <w:p w14:paraId="5032C5A5">
      <w:pPr>
        <w:pStyle w:val="4"/>
        <w:bidi w:val="0"/>
        <w:ind w:left="0" w:leftChars="0" w:firstLine="0" w:firstLineChars="0"/>
        <w:jc w:val="center"/>
        <w:rPr>
          <w:rFonts w:hint="default"/>
          <w:lang w:val="ru-RU"/>
        </w:rPr>
      </w:pPr>
      <w:r>
        <w:drawing>
          <wp:inline distT="0" distB="0" distL="114300" distR="114300">
            <wp:extent cx="5988685" cy="2601595"/>
            <wp:effectExtent l="0" t="0" r="5715" b="1905"/>
            <wp:docPr id="6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4"/>
                    <pic:cNvPicPr>
                      <a:picLocks noChangeAspect="1"/>
                    </pic:cNvPicPr>
                  </pic:nvPicPr>
                  <pic:blipFill>
                    <a:blip r:embed="rId14"/>
                    <a:srcRect l="438" r="34010" b="37998"/>
                    <a:stretch>
                      <a:fillRect/>
                    </a:stretch>
                  </pic:blipFill>
                  <pic:spPr>
                    <a:xfrm>
                      <a:off x="0" y="0"/>
                      <a:ext cx="5988685" cy="26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B93A8">
      <w:pPr>
        <w:pStyle w:val="4"/>
        <w:bidi w:val="0"/>
        <w:ind w:left="0" w:leftChars="0" w:firstLine="0" w:firstLineChars="0"/>
        <w:jc w:val="center"/>
        <w:rPr>
          <w:rFonts w:hint="default"/>
          <w:lang w:val="ru-RU"/>
        </w:rPr>
      </w:pPr>
      <w:r>
        <w:rPr>
          <w:lang w:val="ru-RU"/>
        </w:rPr>
        <w:t>Рисунок</w:t>
      </w:r>
      <w:r>
        <w:rPr>
          <w:rFonts w:hint="default"/>
          <w:lang w:val="ru-RU"/>
        </w:rPr>
        <w:t xml:space="preserve"> 7</w:t>
      </w:r>
      <w:r>
        <w:rPr>
          <w:rFonts w:hint="eastAsia" w:ascii="SimSun" w:hAnsi="SimSun" w:eastAsia="SimSun" w:cs="SimSun"/>
          <w:lang w:val="ru-RU"/>
        </w:rPr>
        <w:t>－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Раман</w:t>
      </w:r>
      <w:r>
        <w:rPr>
          <w:rFonts w:hint="default"/>
          <w:lang w:val="ru-RU"/>
        </w:rPr>
        <w:t>-спектр для b3lyp метода.</w:t>
      </w:r>
    </w:p>
    <w:p w14:paraId="703F2EF4">
      <w:pPr>
        <w:pStyle w:val="4"/>
        <w:bidi w:val="0"/>
        <w:ind w:left="0" w:leftChars="0" w:firstLine="0" w:firstLineChars="0"/>
        <w:jc w:val="center"/>
      </w:pPr>
      <w:r>
        <w:drawing>
          <wp:inline distT="0" distB="0" distL="114300" distR="114300">
            <wp:extent cx="3388360" cy="2393315"/>
            <wp:effectExtent l="0" t="0" r="2540" b="6985"/>
            <wp:docPr id="7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8836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BCADE">
      <w:pPr>
        <w:pStyle w:val="4"/>
        <w:bidi w:val="0"/>
        <w:ind w:left="0" w:leftChars="0" w:firstLine="0" w:firstLineChars="0"/>
        <w:jc w:val="center"/>
        <w:rPr>
          <w:rFonts w:hint="default"/>
          <w:lang w:val="ru-RU"/>
        </w:rPr>
      </w:pPr>
      <w:r>
        <w:rPr>
          <w:lang w:val="ru-RU"/>
        </w:rPr>
        <w:t>Рисунок</w:t>
      </w:r>
      <w:r>
        <w:rPr>
          <w:rFonts w:hint="default"/>
          <w:lang w:val="ru-RU"/>
        </w:rPr>
        <w:t xml:space="preserve"> 8 </w:t>
      </w:r>
      <w:r>
        <w:rPr>
          <w:rFonts w:hint="eastAsia" w:ascii="SimSun" w:hAnsi="SimSun" w:eastAsia="SimSun" w:cs="SimSun"/>
          <w:lang w:val="ru-RU"/>
        </w:rPr>
        <w:t>－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Раман</w:t>
      </w:r>
      <w:r>
        <w:rPr>
          <w:rFonts w:hint="default"/>
          <w:lang w:val="ru-RU"/>
        </w:rPr>
        <w:t>-спектр полученный в ходе эксперимента.</w:t>
      </w:r>
    </w:p>
    <w:p w14:paraId="789E3571">
      <w:pPr>
        <w:pStyle w:val="4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Область 3000–2800 см⁻¹: Полосы, соответствующие валентным колебаниям C–H связей в алкильных и ароматических фрагментах. В экспериментальном спектре наблюдаются интенсивные полосы при ~2930 см⁻¹ и ~2850 см⁻¹, которые хорошо воспроизводятся в расчётах.</w:t>
      </w:r>
    </w:p>
    <w:p w14:paraId="0C0B8671">
      <w:pPr>
        <w:pStyle w:val="4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Область 1600–1400 см⁻¹: Характерные полосы ароматического индольного ядра. Экспериментальный максимум при ~1580 см⁻¹ соответствует валентным колебаниям C=C связей ароматического кольца и успешно моделируется обоими функционалами.</w:t>
      </w:r>
    </w:p>
    <w:p w14:paraId="7207B476">
      <w:pPr>
        <w:pStyle w:val="4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Область 1350–1150 см⁻¹: Система полос, связанная с колебаниями сульфонамидной группы. Экспериментальный интенсивный дублет при ~1320 см⁻¹ и ~1290 см⁻¹ соответствует валентным колебаниям S=O связей. PBE0 несколько лучше воспроизводит расщепление этой полосы по сравнению с B3LYP.</w:t>
      </w:r>
    </w:p>
    <w:p w14:paraId="60DBEFF7">
      <w:pPr>
        <w:pStyle w:val="4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Область 1100–800 см⁻¹: Полосы, характерные для колебаний C–N и C–C связей, а также деформационных колебаний ароматического кольца.</w:t>
      </w:r>
    </w:p>
    <w:p w14:paraId="62E0AB19">
      <w:pPr>
        <w:pStyle w:val="4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Сравнительный анализ точности функционалов:</w:t>
      </w:r>
    </w:p>
    <w:p w14:paraId="55365949">
      <w:pPr>
        <w:pStyle w:val="4"/>
        <w:numPr>
          <w:ilvl w:val="0"/>
          <w:numId w:val="11"/>
        </w:numPr>
        <w:bidi w:val="0"/>
        <w:ind w:left="420" w:leftChars="0" w:hanging="420" w:firstLineChars="0"/>
        <w:rPr>
          <w:rFonts w:hint="default"/>
          <w:lang w:val="ru-RU"/>
        </w:rPr>
      </w:pPr>
      <w:r>
        <w:rPr>
          <w:rFonts w:hint="default"/>
          <w:lang w:val="ru-RU"/>
        </w:rPr>
        <w:t>PBE0 даёт несколько лучшее согласие по положению полос в области 1300–1100 см⁻¹, что может быть связано с более точным описанием колебаний сульфонамидной группы.</w:t>
      </w:r>
    </w:p>
    <w:p w14:paraId="6CF70D63">
      <w:pPr>
        <w:pStyle w:val="4"/>
        <w:numPr>
          <w:ilvl w:val="0"/>
          <w:numId w:val="11"/>
        </w:numPr>
        <w:bidi w:val="0"/>
        <w:ind w:left="420" w:leftChars="0" w:hanging="420" w:firstLineChars="0"/>
        <w:rPr>
          <w:rFonts w:hint="default"/>
          <w:lang w:val="ru-RU"/>
        </w:rPr>
      </w:pPr>
      <w:r>
        <w:rPr>
          <w:rFonts w:hint="default"/>
          <w:lang w:val="ru-RU"/>
        </w:rPr>
        <w:t>B3LYP показывает немного лучшее согласие в области 1600–1500 см⁻¹ для ароматических колебаний.</w:t>
      </w:r>
    </w:p>
    <w:p w14:paraId="308B1438">
      <w:pPr>
        <w:pStyle w:val="4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Оба метода несколько завышают частоты по сравнению с экспериментом (типичный сдвиг ~20–40 см⁻¹), что соответствует известному систематическому смещению гармонических приближений DFT-расчётов.</w:t>
      </w:r>
    </w:p>
    <w:p w14:paraId="092E5588">
      <w:pPr>
        <w:pStyle w:val="5"/>
        <w:bidi w:val="0"/>
        <w:rPr>
          <w:rFonts w:hint="default"/>
          <w:lang w:val="ru-RU"/>
        </w:rPr>
      </w:pPr>
      <w:bookmarkStart w:id="8" w:name="_Toc12470"/>
      <w:r>
        <w:rPr>
          <w:rFonts w:hint="default"/>
          <w:lang w:val="ru-RU"/>
        </w:rPr>
        <w:t>3.3. Структурно-спектральные корреляции</w:t>
      </w:r>
      <w:bookmarkEnd w:id="8"/>
    </w:p>
    <w:p w14:paraId="2A470F2F">
      <w:pPr>
        <w:pStyle w:val="4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Анализ колебательных мод, выполненных в ChemCraft, позволил установить важные структурно-спектральные зависимости:</w:t>
      </w:r>
    </w:p>
    <w:p w14:paraId="1A123F28">
      <w:pPr>
        <w:pStyle w:val="4"/>
        <w:numPr>
          <w:ilvl w:val="0"/>
          <w:numId w:val="11"/>
        </w:numPr>
        <w:bidi w:val="0"/>
        <w:ind w:left="420" w:leftChars="0" w:hanging="420" w:firstLineChars="0"/>
        <w:rPr>
          <w:rFonts w:hint="default"/>
          <w:lang w:val="ru-RU"/>
        </w:rPr>
      </w:pPr>
      <w:r>
        <w:rPr>
          <w:rFonts w:hint="default"/>
          <w:lang w:val="ru-RU"/>
        </w:rPr>
        <w:t>Полосы в области 1320–1290 см⁻¹ в экспериментальном спектре соответствуют валентным колебаниям S=O связей сульфонамидной группы, чувствительным к конформации молекулы.</w:t>
      </w:r>
    </w:p>
    <w:p w14:paraId="6BE1ED26">
      <w:pPr>
        <w:pStyle w:val="4"/>
        <w:numPr>
          <w:ilvl w:val="0"/>
          <w:numId w:val="11"/>
        </w:numPr>
        <w:bidi w:val="0"/>
        <w:ind w:left="420" w:leftChars="0" w:hanging="420" w:firstLineChars="0"/>
        <w:rPr>
          <w:rFonts w:hint="default"/>
          <w:lang w:val="ru-RU"/>
        </w:rPr>
      </w:pPr>
      <w:r>
        <w:rPr>
          <w:rFonts w:hint="default"/>
          <w:lang w:val="ru-RU"/>
        </w:rPr>
        <w:t>Система полос в области 1100–1000 см⁻¹ связана с колебаниями C–N связей этиламинового фрагмента, что подтверждает участие этой группы в образовании внутримолекулярных взаимодействий.</w:t>
      </w:r>
    </w:p>
    <w:p w14:paraId="551C7C3E">
      <w:pPr>
        <w:pStyle w:val="4"/>
        <w:numPr>
          <w:ilvl w:val="0"/>
          <w:numId w:val="11"/>
        </w:numPr>
        <w:bidi w:val="0"/>
        <w:ind w:left="420" w:leftChars="0" w:hanging="420" w:firstLineChars="0"/>
        <w:rPr>
          <w:rFonts w:hint="default"/>
          <w:lang w:val="ru-RU"/>
        </w:rPr>
      </w:pPr>
      <w:r>
        <w:rPr>
          <w:rFonts w:hint="default"/>
          <w:lang w:val="ru-RU"/>
        </w:rPr>
        <w:t>Наличие в экспериментальном спектре уширенных полос свидетельствует о существовании молекулы в виде смеси конформеров при комнатной температуре, что согласуется с результатами конформационного анализа.</w:t>
      </w:r>
    </w:p>
    <w:p w14:paraId="788157DC">
      <w:pPr>
        <w:pStyle w:val="3"/>
        <w:bidi w:val="0"/>
        <w:rPr>
          <w:rFonts w:hint="default"/>
          <w:lang w:val="ru-RU"/>
        </w:rPr>
      </w:pPr>
      <w:bookmarkStart w:id="9" w:name="_Toc10388"/>
      <w:r>
        <w:rPr>
          <w:rFonts w:hint="default"/>
          <w:lang w:val="ru-RU"/>
        </w:rPr>
        <w:t>Заключение</w:t>
      </w:r>
      <w:bookmarkEnd w:id="9"/>
    </w:p>
    <w:p w14:paraId="04115A40">
      <w:pPr>
        <w:pStyle w:val="4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В ходе исследования методами квантовой химии была проведена комплексная характеристика молекулы суматриптана. Конформационный анализ с использованием программы CREST выявил значительную гибкость молекулы, обусловленную вращательными степенями свободы в этиламиновом и сульфонамидном фрагментах. Кластеризация 805 конформеров позволила выделить четыре основные структурные семьи, причём наиболее стабильный кластер составляет менее 10% от общего ансамбля, что подтверждает существование суматриптана в растворе в виде сложной смеси конформационных изомеров.</w:t>
      </w:r>
    </w:p>
    <w:p w14:paraId="62F3F1EE">
      <w:pPr>
        <w:pStyle w:val="4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Расчёт колебательных спектров методами DFT (PBE0 и B3LYP с базисом def2-TZVP) продемонстрировал хорошее качественное согласие с экспериментальным Раман-спектром. Оба функционала адекватно воспроизводят ключевые спектральные особенности:</w:t>
      </w:r>
    </w:p>
    <w:p w14:paraId="6061D6F4">
      <w:pPr>
        <w:pStyle w:val="4"/>
        <w:numPr>
          <w:ilvl w:val="0"/>
          <w:numId w:val="11"/>
        </w:numPr>
        <w:bidi w:val="0"/>
        <w:ind w:left="420" w:leftChars="0" w:hanging="420" w:firstLineChars="0"/>
        <w:rPr>
          <w:rFonts w:hint="default"/>
          <w:lang w:val="ru-RU"/>
        </w:rPr>
      </w:pPr>
      <w:r>
        <w:rPr>
          <w:rFonts w:hint="default"/>
          <w:lang w:val="ru-RU"/>
        </w:rPr>
        <w:t>валентные колебания C–H связей (2800–3000 см⁻¹)</w:t>
      </w:r>
    </w:p>
    <w:p w14:paraId="2B672C3C">
      <w:pPr>
        <w:pStyle w:val="4"/>
        <w:numPr>
          <w:ilvl w:val="0"/>
          <w:numId w:val="11"/>
        </w:numPr>
        <w:bidi w:val="0"/>
        <w:ind w:left="420" w:leftChars="0" w:hanging="420" w:firstLineChars="0"/>
        <w:rPr>
          <w:rFonts w:hint="default"/>
          <w:lang w:val="ru-RU"/>
        </w:rPr>
      </w:pPr>
      <w:r>
        <w:rPr>
          <w:rFonts w:hint="default"/>
          <w:lang w:val="ru-RU"/>
        </w:rPr>
        <w:t>колебания ароматического индольного ядра (1400–1600 см⁻¹)</w:t>
      </w:r>
    </w:p>
    <w:p w14:paraId="4C0C3415">
      <w:pPr>
        <w:pStyle w:val="4"/>
        <w:numPr>
          <w:ilvl w:val="0"/>
          <w:numId w:val="11"/>
        </w:numPr>
        <w:bidi w:val="0"/>
        <w:ind w:left="420" w:leftChars="0" w:hanging="420" w:firstLineChars="0"/>
        <w:rPr>
          <w:rFonts w:hint="default"/>
          <w:lang w:val="ru-RU"/>
        </w:rPr>
      </w:pPr>
      <w:r>
        <w:rPr>
          <w:rFonts w:hint="default"/>
          <w:lang w:val="ru-RU"/>
        </w:rPr>
        <w:t>характеристические полосы сульфонамидной группы (1150–1350 см⁻¹)</w:t>
      </w:r>
    </w:p>
    <w:p w14:paraId="0B27078C">
      <w:pPr>
        <w:pStyle w:val="4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При этом функционал PBE0 показал несколько лучшее соответствие в области колебаний S=O связей, что может быть связано с более точным описанием электронных эффектов в сульфонамидной группе. Систематическое завышение частот (~20–40 см⁻¹) относительно эксперимента характерно для гармонического приближения в DFT-расчётах.</w:t>
      </w:r>
    </w:p>
    <w:p w14:paraId="6CC33D72">
      <w:pPr>
        <w:pStyle w:val="4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Полученные результаты подтверждают эффективность современного программного комплекса (CREST → ORCA → ChemCraft) для исследования конформационных и спектральных свойств фармакологически активных молекул. Выявленная конформационная гибкость суматриптана может иметь значение для понимания механизмов его взаимодействия с серотониновыми рецепторами и требует учёта при разработке более селективных аналогов.</w:t>
      </w:r>
    </w:p>
    <w:p w14:paraId="36385A4B">
      <w:pPr>
        <w:pStyle w:val="4"/>
        <w:bidi w:val="0"/>
        <w:rPr>
          <w:rFonts w:hint="default"/>
          <w:lang w:val="ru-RU"/>
        </w:rPr>
      </w:pPr>
    </w:p>
    <w:p w14:paraId="1C66AC08">
      <w:pPr>
        <w:pStyle w:val="4"/>
        <w:bidi w:val="0"/>
        <w:rPr>
          <w:rFonts w:hint="default"/>
          <w:lang w:val="ru-RU"/>
        </w:rPr>
      </w:pPr>
    </w:p>
    <w:p w14:paraId="7A81D999">
      <w:pPr>
        <w:rPr>
          <w:rFonts w:hint="default"/>
          <w:lang w:val="en-US"/>
        </w:rPr>
      </w:pPr>
    </w:p>
    <w:p w14:paraId="782A3E74">
      <w:pPr>
        <w:rPr>
          <w:rFonts w:hint="default"/>
          <w:lang w:val="ru-RU"/>
        </w:rPr>
      </w:pPr>
      <w:r>
        <w:rPr>
          <w:rFonts w:hint="default"/>
          <w:lang w:val="ru-RU"/>
        </w:rPr>
        <w:br w:type="page"/>
      </w:r>
    </w:p>
    <w:p w14:paraId="70453706">
      <w:pPr>
        <w:pStyle w:val="3"/>
        <w:bidi w:val="0"/>
        <w:rPr>
          <w:rFonts w:hint="default"/>
          <w:lang w:val="en-US"/>
        </w:rPr>
      </w:pPr>
      <w:bookmarkStart w:id="10" w:name="_Toc13627"/>
      <w:r>
        <w:rPr>
          <w:rFonts w:hint="default"/>
          <w:lang w:val="ru-RU"/>
        </w:rPr>
        <w:t>Список л</w:t>
      </w:r>
      <w:r>
        <w:rPr>
          <w:rFonts w:hint="default"/>
          <w:lang w:val="en-US"/>
        </w:rPr>
        <w:t>итератур</w:t>
      </w:r>
      <w:r>
        <w:rPr>
          <w:rFonts w:hint="default"/>
          <w:lang w:val="ru-RU"/>
        </w:rPr>
        <w:t>ы</w:t>
      </w:r>
      <w:r>
        <w:rPr>
          <w:rFonts w:hint="default"/>
          <w:lang w:val="en-US"/>
        </w:rPr>
        <w:t>:</w:t>
      </w:r>
      <w:bookmarkEnd w:id="10"/>
    </w:p>
    <w:p w14:paraId="57FBD006">
      <w:pPr>
        <w:pStyle w:val="4"/>
        <w:numPr>
          <w:ilvl w:val="0"/>
          <w:numId w:val="12"/>
        </w:numPr>
        <w:bidi w:val="0"/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Humphrey, P. P. The pharmacology of sumatriptan / P. P. Humphrey, W. Fenink // Reviews in Contemporary Pharmacotherapy. – 1998. – Vol. 9, № 3. – P. 155–160.</w:t>
      </w:r>
    </w:p>
    <w:p w14:paraId="394DCCDF">
      <w:pPr>
        <w:pStyle w:val="4"/>
        <w:numPr>
          <w:ilvl w:val="0"/>
          <w:numId w:val="12"/>
        </w:numPr>
        <w:bidi w:val="0"/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Goadsby, P. J. Migraine – current understanding and treatment / P. J. Goadsby, R. B. Lipton, M. D. Ferrari // The New England Journal of Medicine. – 2002. – Vol. 346, № 4. – P. 257–270. – DOI: 10.1056/NEJMra010917.</w:t>
      </w:r>
    </w:p>
    <w:p w14:paraId="1A51BBFF">
      <w:pPr>
        <w:pStyle w:val="4"/>
        <w:numPr>
          <w:ilvl w:val="0"/>
          <w:numId w:val="12"/>
        </w:numPr>
        <w:bidi w:val="0"/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Pracht, P. CREST – A program for the exploration of low-energy molecular chemical space / P. Pracht, S. Grimme // The Journal of Chemical Physics. – 2020. – Vol. 153, № 2. – P. 024109. – DOI: 10.1063/5.0042916.</w:t>
      </w:r>
    </w:p>
    <w:p w14:paraId="34496ABD">
      <w:pPr>
        <w:pStyle w:val="4"/>
        <w:numPr>
          <w:ilvl w:val="0"/>
          <w:numId w:val="12"/>
        </w:numPr>
        <w:bidi w:val="0"/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Microsoft. Windows Subsystem for Linux (WSL) documentation [Электронный ресурс]. – 2023. – URL: 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"https://learn.microsoft.com/en-us/windows/wsl/" \t "https://chat.deepseek.com/a/chat/s/_blank"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>https://learn.microsoft.com/en-us/windows/wsl/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en-US"/>
        </w:rPr>
        <w:t> (дата обращения: 20.03.2024).</w:t>
      </w:r>
    </w:p>
    <w:p w14:paraId="20A13FD6">
      <w:pPr>
        <w:pStyle w:val="4"/>
        <w:numPr>
          <w:ilvl w:val="0"/>
          <w:numId w:val="12"/>
        </w:numPr>
        <w:bidi w:val="0"/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Xu, T. Performance Analysis of WSL2 for High-Performance Computing / T. Xu, J. Li, Y. Zhang // IEEE Access. – 2021. – Vol. 9. – P. 105896–105906. – DOI: 10.1109/ACCESS.2021.3099856.</w:t>
      </w:r>
    </w:p>
    <w:p w14:paraId="57CF1C10">
      <w:pPr>
        <w:pStyle w:val="4"/>
        <w:numPr>
          <w:ilvl w:val="0"/>
          <w:numId w:val="12"/>
        </w:numPr>
        <w:bidi w:val="0"/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Neese, F. The ORCA program system / F. Neese // WIREs Computational Molecular Science. – 2012. – Vol. 2, № 1. – P. 73–78. – DOI: 10.1002/wcms.81.</w:t>
      </w:r>
    </w:p>
    <w:p w14:paraId="7A8C0544">
      <w:pPr>
        <w:pStyle w:val="4"/>
        <w:numPr>
          <w:ilvl w:val="0"/>
          <w:numId w:val="12"/>
        </w:numPr>
        <w:bidi w:val="0"/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Neese, F. Software update: The ORCA program system, version 5.0 / F. Neese // WIREs Computational Molecular Science. – 2022. – Vol. 12, № 1. – P. e1606. – DOI: 10.1002/wcms.1606.</w:t>
      </w:r>
    </w:p>
    <w:p w14:paraId="251CA2C6">
      <w:pPr>
        <w:pStyle w:val="4"/>
        <w:numPr>
          <w:ilvl w:val="0"/>
          <w:numId w:val="12"/>
        </w:numPr>
        <w:bidi w:val="0"/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Merrick, J. P. An evaluation of harmonic vibrational frequency scale factors / J. P. Merrick, D. Moran, L. Radom // The Journal of Physical Chemistry A. – 2007. – Vol. 111, № 45. – P. 11683–11700. – DOI: 10.1021/jp073974n.</w:t>
      </w:r>
    </w:p>
    <w:p w14:paraId="33BBAA2F">
      <w:pPr>
        <w:pStyle w:val="4"/>
        <w:numPr>
          <w:ilvl w:val="0"/>
          <w:numId w:val="12"/>
        </w:numPr>
        <w:bidi w:val="0"/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Zhuravlev, G. ChemCraft: A program for visualization of quantum chemistry computations [Электронный ресурс] / G. Zhuravlev. – 2022. – URL: 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"https://www.chemcraftprog.com/" \t "https://chat.deepseek.com/a/chat/s/_blank"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>https://www.chemcraftprog.com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en-US"/>
        </w:rPr>
        <w:t> (дата обращения: 20.03.2024).</w:t>
      </w:r>
    </w:p>
    <w:p w14:paraId="18A0A665">
      <w:pPr>
        <w:pStyle w:val="4"/>
        <w:numPr>
          <w:ilvl w:val="0"/>
          <w:numId w:val="12"/>
        </w:numPr>
        <w:bidi w:val="0"/>
        <w:ind w:left="425" w:leftChars="0" w:hanging="425" w:firstLineChars="0"/>
        <w:rPr>
          <w:rFonts w:hint="default"/>
          <w:lang w:val="en-US"/>
        </w:rPr>
        <w:sectPr>
          <w:footerReference r:id="rId4" w:type="default"/>
          <w:type w:val="continuous"/>
          <w:pgSz w:w="11906" w:h="16838"/>
          <w:pgMar w:top="1134" w:right="850" w:bottom="1134" w:left="1701" w:header="720" w:footer="720" w:gutter="0"/>
          <w:pgNumType w:fmt="decimal"/>
          <w:cols w:space="0" w:num="1"/>
          <w:rtlGutter w:val="0"/>
          <w:docGrid w:linePitch="360" w:charSpace="0"/>
        </w:sectPr>
      </w:pPr>
      <w:r>
        <w:rPr>
          <w:rFonts w:hint="default"/>
          <w:lang w:val="en-US"/>
        </w:rPr>
        <w:t xml:space="preserve">Klamt, A. COSMO: A new approach to dielectric screening in solvents with explicit expressions for the screening energy and its gradient / A. Klamt, G. </w:t>
      </w:r>
    </w:p>
    <w:p w14:paraId="0BECB7B6">
      <w:pPr>
        <w:pStyle w:val="4"/>
        <w:numPr>
          <w:ilvl w:val="0"/>
          <w:numId w:val="12"/>
        </w:numPr>
        <w:bidi w:val="0"/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Schüürmann // Journal of the Chemical Society, Perkin Transactions 2. – 1993. – № 5. – P. 799–805. – DOI: 10.1039/P29930000799.</w:t>
      </w:r>
    </w:p>
    <w:p w14:paraId="67B7103E">
      <w:pPr>
        <w:pStyle w:val="4"/>
        <w:numPr>
          <w:ilvl w:val="0"/>
          <w:numId w:val="12"/>
        </w:numPr>
        <w:bidi w:val="0"/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Grimme, S. A consistent and accurate ab initio parametrization of density functional dispersion correction (DFT-D) for the 94 elements H-Pu / S. Grimme, J. Antony, S. Ehrlich et al. // The Journal of Chemical Physics. – 2010. – Vol. 132, № 15. – P. 154104. – DOI: 10.1063/1.3382344.</w:t>
      </w:r>
    </w:p>
    <w:p w14:paraId="4FB5ECB7">
      <w:pPr>
        <w:pStyle w:val="4"/>
        <w:numPr>
          <w:ilvl w:val="0"/>
          <w:numId w:val="12"/>
        </w:numPr>
        <w:bidi w:val="0"/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Bannwarth, C. GFN2-xTB – An accurate and broadly parametrized self-consistent tight-binding quantum chemical method with multipole electrostatics and density-dependent dispersion contributions / C. Bannwarth, S. Ehlert, S. Grimme // Journal of Chemical Theory and Computation. – 2019. – Vol. 15, № 3. – P. 1652–1671. – DOI: 10.1021/acs.jctc.8b01176.</w:t>
      </w:r>
    </w:p>
    <w:p w14:paraId="42F6759C">
      <w:pPr>
        <w:pStyle w:val="4"/>
        <w:numPr>
          <w:numId w:val="0"/>
        </w:numPr>
        <w:tabs>
          <w:tab w:val="left" w:pos="425"/>
        </w:tabs>
        <w:bidi w:val="0"/>
        <w:spacing w:line="360" w:lineRule="auto"/>
        <w:jc w:val="both"/>
        <w:rPr>
          <w:rFonts w:hint="default"/>
          <w:lang w:val="en-US"/>
        </w:rPr>
      </w:pPr>
    </w:p>
    <w:p w14:paraId="512D0760">
      <w:pPr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p w14:paraId="3B78069F">
      <w:pPr>
        <w:pStyle w:val="3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Благодарности:</w:t>
      </w:r>
    </w:p>
    <w:p w14:paraId="10BF9FA8">
      <w:pPr>
        <w:pStyle w:val="4"/>
        <w:rPr>
          <w:rFonts w:hint="default"/>
          <w:lang w:val="ru-RU"/>
        </w:rPr>
      </w:pPr>
      <w:r>
        <w:rPr>
          <w:rFonts w:hint="default"/>
          <w:lang w:val="ru-RU"/>
        </w:rPr>
        <w:t xml:space="preserve">Выражаю благодарность моему руководителю Кобчиковой Полине, команде </w:t>
      </w:r>
      <w:r>
        <w:rPr>
          <w:rFonts w:hint="default"/>
          <w:lang w:val="en-US"/>
        </w:rPr>
        <w:t xml:space="preserve">INTEREST, </w:t>
      </w:r>
      <w:r>
        <w:rPr>
          <w:rFonts w:hint="default"/>
          <w:lang w:val="ru-RU"/>
        </w:rPr>
        <w:t>лаборатории нейтронной физики им.Франка, ОИЯИ, Дубна.</w:t>
      </w:r>
      <w:bookmarkStart w:id="11" w:name="_GoBack"/>
      <w:bookmarkEnd w:id="11"/>
    </w:p>
    <w:sectPr>
      <w:footerReference r:id="rId5" w:type="default"/>
      <w:pgSz w:w="11906" w:h="16838"/>
      <w:pgMar w:top="1134" w:right="850" w:bottom="1134" w:left="1701" w:header="720" w:footer="720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6916A">
    <w:pPr>
      <w:pStyle w:val="87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Текстовое поле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D84DD">
                          <w:pPr>
                            <w:pStyle w:val="8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vyj2CUECAAB1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D84DD">
                    <w:pPr>
                      <w:pStyle w:val="8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10F16">
    <w:pPr>
      <w:pStyle w:val="87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Текстовое поле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0C7BB">
                          <w:pPr>
                            <w:pStyle w:val="8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O25/INCAgAAdQ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0C7BB">
                    <w:pPr>
                      <w:pStyle w:val="8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8E5E9">
    <w:pPr>
      <w:pStyle w:val="87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Текстовое поле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56DAE">
                          <w:pPr>
                            <w:pStyle w:val="8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WgySxkECAAB1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B56DAE">
                    <w:pPr>
                      <w:pStyle w:val="8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FD8E6"/>
    <w:multiLevelType w:val="singleLevel"/>
    <w:tmpl w:val="906FD8E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3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6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50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89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82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85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84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8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8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1">
    <w:nsid w:val="0EDC0816"/>
    <w:multiLevelType w:val="singleLevel"/>
    <w:tmpl w:val="0EDC081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13160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39A5CB4"/>
    <w:rsid w:val="03DE783D"/>
    <w:rsid w:val="04A950D1"/>
    <w:rsid w:val="0D61646A"/>
    <w:rsid w:val="0EC713DF"/>
    <w:rsid w:val="0F3A3D1E"/>
    <w:rsid w:val="129513D3"/>
    <w:rsid w:val="12D77087"/>
    <w:rsid w:val="134C0770"/>
    <w:rsid w:val="1712635A"/>
    <w:rsid w:val="17694E7B"/>
    <w:rsid w:val="1BCE29F3"/>
    <w:rsid w:val="1CFF6E22"/>
    <w:rsid w:val="1D4E055E"/>
    <w:rsid w:val="22E84C54"/>
    <w:rsid w:val="27F771BD"/>
    <w:rsid w:val="29E74EFE"/>
    <w:rsid w:val="2E112A74"/>
    <w:rsid w:val="2EC57E39"/>
    <w:rsid w:val="389E4947"/>
    <w:rsid w:val="3D2E204C"/>
    <w:rsid w:val="41C36D7F"/>
    <w:rsid w:val="46C9234A"/>
    <w:rsid w:val="4B424A07"/>
    <w:rsid w:val="568D4527"/>
    <w:rsid w:val="58E2665F"/>
    <w:rsid w:val="62740D6D"/>
    <w:rsid w:val="69C0748D"/>
    <w:rsid w:val="6C55347B"/>
    <w:rsid w:val="6F0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next w:val="4"/>
    <w:unhideWhenUsed/>
    <w:qFormat/>
    <w:uiPriority w:val="0"/>
    <w:pPr>
      <w:spacing w:before="0" w:beforeAutospacing="1" w:after="0" w:afterAutospacing="1" w:line="240" w:lineRule="auto"/>
      <w:jc w:val="center"/>
      <w:outlineLvl w:val="1"/>
    </w:pPr>
    <w:rPr>
      <w:rFonts w:hint="default" w:ascii="Times New Roman" w:hAnsi="Times New Roman" w:eastAsia="SimSun" w:cs="SimSun"/>
      <w:b/>
      <w:bCs/>
      <w:color w:val="000000"/>
      <w:kern w:val="0"/>
      <w:sz w:val="28"/>
      <w:szCs w:val="36"/>
      <w:lang w:val="en-US" w:eastAsia="zh-CN" w:bidi="ar"/>
    </w:rPr>
  </w:style>
  <w:style w:type="paragraph" w:styleId="5">
    <w:name w:val="heading 3"/>
    <w:basedOn w:val="1"/>
    <w:next w:val="4"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Times New Roman" w:hAnsi="Times New Roman" w:cs="Arial"/>
      <w:b/>
      <w:bCs/>
      <w:sz w:val="28"/>
      <w:szCs w:val="26"/>
    </w:rPr>
  </w:style>
  <w:style w:type="paragraph" w:styleId="6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8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9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Стиль 1 текст"/>
    <w:basedOn w:val="1"/>
    <w:link w:val="153"/>
    <w:qFormat/>
    <w:uiPriority w:val="0"/>
    <w:pPr>
      <w:spacing w:line="360" w:lineRule="auto"/>
      <w:ind w:firstLine="708"/>
      <w:jc w:val="both"/>
    </w:pPr>
    <w:rPr>
      <w:rFonts w:ascii="Times New Roman" w:hAnsi="Times New Roman"/>
      <w:color w:val="000000"/>
      <w:sz w:val="28"/>
      <w:lang w:val="ru-RU"/>
    </w:rPr>
  </w:style>
  <w:style w:type="character" w:styleId="14">
    <w:name w:val="HTML Sample"/>
    <w:basedOn w:val="12"/>
    <w:qFormat/>
    <w:uiPriority w:val="0"/>
    <w:rPr>
      <w:rFonts w:ascii="Courier New" w:hAnsi="Courier New" w:cs="Courier New"/>
    </w:rPr>
  </w:style>
  <w:style w:type="character" w:styleId="15">
    <w:name w:val="FollowedHyperlink"/>
    <w:basedOn w:val="12"/>
    <w:qFormat/>
    <w:uiPriority w:val="0"/>
    <w:rPr>
      <w:color w:val="800080"/>
      <w:u w:val="single"/>
    </w:rPr>
  </w:style>
  <w:style w:type="character" w:styleId="16">
    <w:name w:val="footnote reference"/>
    <w:basedOn w:val="12"/>
    <w:qFormat/>
    <w:uiPriority w:val="0"/>
    <w:rPr>
      <w:vertAlign w:val="superscript"/>
    </w:rPr>
  </w:style>
  <w:style w:type="character" w:styleId="17">
    <w:name w:val="annotation reference"/>
    <w:basedOn w:val="12"/>
    <w:qFormat/>
    <w:uiPriority w:val="0"/>
    <w:rPr>
      <w:sz w:val="21"/>
      <w:szCs w:val="21"/>
    </w:rPr>
  </w:style>
  <w:style w:type="character" w:styleId="18">
    <w:name w:val="endnote reference"/>
    <w:basedOn w:val="12"/>
    <w:qFormat/>
    <w:uiPriority w:val="0"/>
    <w:rPr>
      <w:vertAlign w:val="superscript"/>
    </w:rPr>
  </w:style>
  <w:style w:type="character" w:styleId="19">
    <w:name w:val="HTML Acronym"/>
    <w:basedOn w:val="12"/>
    <w:qFormat/>
    <w:uiPriority w:val="0"/>
  </w:style>
  <w:style w:type="character" w:styleId="20">
    <w:name w:val="Emphasis"/>
    <w:basedOn w:val="12"/>
    <w:qFormat/>
    <w:uiPriority w:val="0"/>
    <w:rPr>
      <w:i/>
      <w:iCs/>
    </w:rPr>
  </w:style>
  <w:style w:type="character" w:styleId="21">
    <w:name w:val="Hyperlink"/>
    <w:basedOn w:val="12"/>
    <w:qFormat/>
    <w:uiPriority w:val="0"/>
    <w:rPr>
      <w:color w:val="0000FF"/>
      <w:u w:val="single"/>
    </w:rPr>
  </w:style>
  <w:style w:type="character" w:styleId="22">
    <w:name w:val="HTML Keyboard"/>
    <w:basedOn w:val="12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HTML Code"/>
    <w:basedOn w:val="12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page number"/>
    <w:basedOn w:val="12"/>
    <w:qFormat/>
    <w:uiPriority w:val="0"/>
  </w:style>
  <w:style w:type="character" w:styleId="25">
    <w:name w:val="line number"/>
    <w:basedOn w:val="12"/>
    <w:qFormat/>
    <w:uiPriority w:val="0"/>
  </w:style>
  <w:style w:type="character" w:styleId="26">
    <w:name w:val="HTML Definition"/>
    <w:basedOn w:val="12"/>
    <w:qFormat/>
    <w:uiPriority w:val="0"/>
    <w:rPr>
      <w:i/>
      <w:iCs/>
    </w:rPr>
  </w:style>
  <w:style w:type="character" w:styleId="27">
    <w:name w:val="HTML Variable"/>
    <w:basedOn w:val="12"/>
    <w:qFormat/>
    <w:uiPriority w:val="0"/>
    <w:rPr>
      <w:i/>
      <w:iCs/>
    </w:rPr>
  </w:style>
  <w:style w:type="character" w:styleId="28">
    <w:name w:val="HTML Typewriter"/>
    <w:basedOn w:val="12"/>
    <w:qFormat/>
    <w:uiPriority w:val="0"/>
    <w:rPr>
      <w:rFonts w:ascii="Courier New" w:hAnsi="Courier New" w:cs="Courier New"/>
      <w:sz w:val="20"/>
      <w:szCs w:val="20"/>
    </w:rPr>
  </w:style>
  <w:style w:type="character" w:styleId="29">
    <w:name w:val="Strong"/>
    <w:basedOn w:val="12"/>
    <w:qFormat/>
    <w:uiPriority w:val="0"/>
    <w:rPr>
      <w:b/>
      <w:bCs/>
    </w:rPr>
  </w:style>
  <w:style w:type="character" w:styleId="30">
    <w:name w:val="HTML Cite"/>
    <w:basedOn w:val="12"/>
    <w:qFormat/>
    <w:uiPriority w:val="0"/>
    <w:rPr>
      <w:i/>
      <w:iCs/>
    </w:rPr>
  </w:style>
  <w:style w:type="paragraph" w:styleId="31">
    <w:name w:val="Balloon Text"/>
    <w:basedOn w:val="1"/>
    <w:qFormat/>
    <w:uiPriority w:val="0"/>
    <w:rPr>
      <w:sz w:val="16"/>
      <w:szCs w:val="16"/>
    </w:rPr>
  </w:style>
  <w:style w:type="paragraph" w:styleId="32">
    <w:name w:val="List 5"/>
    <w:basedOn w:val="1"/>
    <w:qFormat/>
    <w:uiPriority w:val="0"/>
    <w:pPr>
      <w:ind w:left="1800" w:hanging="360"/>
    </w:pPr>
  </w:style>
  <w:style w:type="paragraph" w:styleId="33">
    <w:name w:val="List Continue"/>
    <w:basedOn w:val="1"/>
    <w:qFormat/>
    <w:uiPriority w:val="0"/>
    <w:pPr>
      <w:spacing w:after="120"/>
      <w:ind w:left="360"/>
    </w:pPr>
  </w:style>
  <w:style w:type="paragraph" w:styleId="34">
    <w:name w:val="Body Text 2"/>
    <w:basedOn w:val="1"/>
    <w:qFormat/>
    <w:uiPriority w:val="0"/>
    <w:pPr>
      <w:spacing w:after="120" w:line="480" w:lineRule="auto"/>
    </w:pPr>
  </w:style>
  <w:style w:type="paragraph" w:styleId="3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6">
    <w:name w:val="Closing"/>
    <w:basedOn w:val="1"/>
    <w:qFormat/>
    <w:uiPriority w:val="0"/>
    <w:pPr>
      <w:ind w:left="4320"/>
    </w:pPr>
  </w:style>
  <w:style w:type="paragraph" w:styleId="37">
    <w:name w:val="Normal Indent"/>
    <w:basedOn w:val="1"/>
    <w:qFormat/>
    <w:uiPriority w:val="0"/>
    <w:pPr>
      <w:ind w:left="708"/>
    </w:pPr>
  </w:style>
  <w:style w:type="paragraph" w:styleId="38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9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40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1">
    <w:name w:val="endnote text"/>
    <w:basedOn w:val="1"/>
    <w:qFormat/>
    <w:uiPriority w:val="0"/>
    <w:pPr>
      <w:snapToGrid w:val="0"/>
      <w:jc w:val="left"/>
    </w:pPr>
  </w:style>
  <w:style w:type="paragraph" w:styleId="42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3">
    <w:name w:val="annotation text"/>
    <w:basedOn w:val="1"/>
    <w:qFormat/>
    <w:uiPriority w:val="0"/>
    <w:pPr>
      <w:jc w:val="left"/>
    </w:pPr>
  </w:style>
  <w:style w:type="paragraph" w:styleId="44">
    <w:name w:val="index 1"/>
    <w:basedOn w:val="1"/>
    <w:next w:val="1"/>
    <w:qFormat/>
    <w:uiPriority w:val="0"/>
  </w:style>
  <w:style w:type="paragraph" w:styleId="45">
    <w:name w:val="annotation subject"/>
    <w:basedOn w:val="43"/>
    <w:next w:val="43"/>
    <w:qFormat/>
    <w:uiPriority w:val="0"/>
    <w:rPr>
      <w:b/>
      <w:bCs/>
    </w:rPr>
  </w:style>
  <w:style w:type="paragraph" w:styleId="46">
    <w:name w:val="Document Map"/>
    <w:basedOn w:val="1"/>
    <w:qFormat/>
    <w:uiPriority w:val="0"/>
    <w:pPr>
      <w:shd w:val="clear" w:color="auto" w:fill="000080"/>
    </w:pPr>
  </w:style>
  <w:style w:type="paragraph" w:styleId="4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2"/>
    <w:basedOn w:val="1"/>
    <w:next w:val="1"/>
    <w:qFormat/>
    <w:uiPriority w:val="0"/>
    <w:pPr>
      <w:ind w:left="200" w:leftChars="200"/>
    </w:pPr>
  </w:style>
  <w:style w:type="paragraph" w:styleId="50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1">
    <w:name w:val="HTML Address"/>
    <w:basedOn w:val="1"/>
    <w:qFormat/>
    <w:uiPriority w:val="0"/>
    <w:rPr>
      <w:i/>
      <w:iCs/>
    </w:rPr>
  </w:style>
  <w:style w:type="paragraph" w:styleId="52">
    <w:name w:val="index 7"/>
    <w:basedOn w:val="1"/>
    <w:next w:val="1"/>
    <w:qFormat/>
    <w:uiPriority w:val="0"/>
    <w:pPr>
      <w:ind w:left="1200" w:leftChars="1200"/>
    </w:pPr>
  </w:style>
  <w:style w:type="paragraph" w:styleId="53">
    <w:name w:val="index 3"/>
    <w:basedOn w:val="1"/>
    <w:next w:val="1"/>
    <w:qFormat/>
    <w:uiPriority w:val="0"/>
    <w:pPr>
      <w:ind w:left="400" w:leftChars="400"/>
    </w:pPr>
  </w:style>
  <w:style w:type="paragraph" w:styleId="54">
    <w:name w:val="index 5"/>
    <w:basedOn w:val="1"/>
    <w:next w:val="1"/>
    <w:qFormat/>
    <w:uiPriority w:val="0"/>
    <w:pPr>
      <w:ind w:left="800" w:leftChars="8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7">
    <w:name w:val="toc 9"/>
    <w:basedOn w:val="1"/>
    <w:next w:val="1"/>
    <w:qFormat/>
    <w:uiPriority w:val="0"/>
    <w:pPr>
      <w:ind w:left="3360" w:leftChars="1600"/>
    </w:pPr>
  </w:style>
  <w:style w:type="paragraph" w:styleId="58">
    <w:name w:val="toc 7"/>
    <w:basedOn w:val="1"/>
    <w:next w:val="1"/>
    <w:qFormat/>
    <w:uiPriority w:val="0"/>
    <w:pPr>
      <w:ind w:left="2520" w:leftChars="1200"/>
    </w:pPr>
  </w:style>
  <w:style w:type="paragraph" w:styleId="59">
    <w:name w:val="index 6"/>
    <w:basedOn w:val="1"/>
    <w:next w:val="1"/>
    <w:qFormat/>
    <w:uiPriority w:val="0"/>
    <w:pPr>
      <w:ind w:left="1000" w:leftChars="1000"/>
    </w:pPr>
  </w:style>
  <w:style w:type="paragraph" w:styleId="60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1">
    <w:name w:val="index 8"/>
    <w:basedOn w:val="1"/>
    <w:next w:val="1"/>
    <w:qFormat/>
    <w:uiPriority w:val="0"/>
    <w:pPr>
      <w:ind w:left="1400" w:leftChars="1400"/>
    </w:pPr>
  </w:style>
  <w:style w:type="paragraph" w:styleId="62">
    <w:name w:val="Body Text"/>
    <w:basedOn w:val="1"/>
    <w:qFormat/>
    <w:uiPriority w:val="0"/>
    <w:pPr>
      <w:spacing w:after="120"/>
    </w:pPr>
  </w:style>
  <w:style w:type="paragraph" w:styleId="63">
    <w:name w:val="index 9"/>
    <w:basedOn w:val="1"/>
    <w:next w:val="1"/>
    <w:qFormat/>
    <w:uiPriority w:val="0"/>
    <w:pPr>
      <w:ind w:left="1600" w:leftChars="1600"/>
    </w:pPr>
  </w:style>
  <w:style w:type="paragraph" w:styleId="64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5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6">
    <w:name w:val="index heading"/>
    <w:basedOn w:val="1"/>
    <w:next w:val="44"/>
    <w:qFormat/>
    <w:uiPriority w:val="0"/>
    <w:rPr>
      <w:rFonts w:ascii="Arial" w:hAnsi="Arial" w:cs="Arial"/>
      <w:b/>
      <w:bCs/>
    </w:rPr>
  </w:style>
  <w:style w:type="paragraph" w:styleId="67">
    <w:name w:val="toc 1"/>
    <w:basedOn w:val="1"/>
    <w:next w:val="1"/>
    <w:qFormat/>
    <w:uiPriority w:val="0"/>
  </w:style>
  <w:style w:type="paragraph" w:styleId="68">
    <w:name w:val="table of authorities"/>
    <w:basedOn w:val="1"/>
    <w:next w:val="1"/>
    <w:qFormat/>
    <w:uiPriority w:val="0"/>
    <w:pPr>
      <w:ind w:left="420" w:leftChars="200"/>
    </w:pPr>
  </w:style>
  <w:style w:type="paragraph" w:styleId="69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70">
    <w:name w:val="toc 6"/>
    <w:basedOn w:val="1"/>
    <w:next w:val="1"/>
    <w:qFormat/>
    <w:uiPriority w:val="0"/>
    <w:pPr>
      <w:ind w:left="2100" w:leftChars="1000"/>
    </w:pPr>
  </w:style>
  <w:style w:type="paragraph" w:styleId="71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2">
    <w:name w:val="toc 3"/>
    <w:basedOn w:val="1"/>
    <w:next w:val="1"/>
    <w:qFormat/>
    <w:uiPriority w:val="0"/>
    <w:pPr>
      <w:ind w:left="840" w:leftChars="400"/>
    </w:pPr>
    <w:rPr>
      <w:rFonts w:ascii="Times New Roman" w:hAnsi="Times New Roman"/>
      <w:sz w:val="28"/>
    </w:rPr>
  </w:style>
  <w:style w:type="paragraph" w:styleId="7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  <w:sz w:val="28"/>
    </w:rPr>
  </w:style>
  <w:style w:type="paragraph" w:styleId="74">
    <w:name w:val="toc 4"/>
    <w:basedOn w:val="1"/>
    <w:next w:val="1"/>
    <w:qFormat/>
    <w:uiPriority w:val="0"/>
    <w:pPr>
      <w:ind w:left="1260" w:leftChars="600"/>
    </w:pPr>
  </w:style>
  <w:style w:type="paragraph" w:styleId="75">
    <w:name w:val="toc 5"/>
    <w:basedOn w:val="1"/>
    <w:next w:val="1"/>
    <w:qFormat/>
    <w:uiPriority w:val="0"/>
    <w:pPr>
      <w:ind w:left="1680" w:leftChars="800"/>
    </w:pPr>
  </w:style>
  <w:style w:type="paragraph" w:styleId="76">
    <w:name w:val="Note Heading"/>
    <w:basedOn w:val="1"/>
    <w:next w:val="1"/>
    <w:qFormat/>
    <w:uiPriority w:val="0"/>
  </w:style>
  <w:style w:type="paragraph" w:styleId="77">
    <w:name w:val="Date"/>
    <w:basedOn w:val="1"/>
    <w:next w:val="1"/>
    <w:qFormat/>
    <w:uiPriority w:val="0"/>
  </w:style>
  <w:style w:type="paragraph" w:styleId="78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9">
    <w:name w:val="Body Text First Indent"/>
    <w:basedOn w:val="62"/>
    <w:qFormat/>
    <w:uiPriority w:val="0"/>
    <w:pPr>
      <w:ind w:firstLine="210"/>
    </w:pPr>
  </w:style>
  <w:style w:type="paragraph" w:styleId="80">
    <w:name w:val="Body Text First Indent 2"/>
    <w:basedOn w:val="81"/>
    <w:qFormat/>
    <w:uiPriority w:val="0"/>
    <w:pPr>
      <w:ind w:firstLine="210"/>
    </w:pPr>
  </w:style>
  <w:style w:type="paragraph" w:styleId="81">
    <w:name w:val="Body Text Indent"/>
    <w:basedOn w:val="1"/>
    <w:qFormat/>
    <w:uiPriority w:val="0"/>
    <w:pPr>
      <w:spacing w:after="120"/>
      <w:ind w:left="360"/>
    </w:pPr>
  </w:style>
  <w:style w:type="paragraph" w:styleId="82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3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4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5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8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9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90">
    <w:name w:val="List"/>
    <w:basedOn w:val="1"/>
    <w:qFormat/>
    <w:uiPriority w:val="0"/>
    <w:pPr>
      <w:ind w:left="360" w:hanging="360"/>
    </w:pPr>
  </w:style>
  <w:style w:type="paragraph" w:styleId="91">
    <w:name w:val="Normal (Web)"/>
    <w:basedOn w:val="1"/>
    <w:qFormat/>
    <w:uiPriority w:val="0"/>
    <w:rPr>
      <w:sz w:val="24"/>
      <w:szCs w:val="24"/>
    </w:rPr>
  </w:style>
  <w:style w:type="paragraph" w:styleId="9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3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4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5">
    <w:name w:val="Signature"/>
    <w:basedOn w:val="1"/>
    <w:qFormat/>
    <w:uiPriority w:val="0"/>
    <w:pPr>
      <w:ind w:left="4320"/>
    </w:pPr>
  </w:style>
  <w:style w:type="paragraph" w:styleId="96">
    <w:name w:val="Salutation"/>
    <w:basedOn w:val="1"/>
    <w:next w:val="1"/>
    <w:qFormat/>
    <w:uiPriority w:val="0"/>
  </w:style>
  <w:style w:type="paragraph" w:styleId="97">
    <w:name w:val="List Continue 2"/>
    <w:basedOn w:val="1"/>
    <w:qFormat/>
    <w:uiPriority w:val="0"/>
    <w:pPr>
      <w:spacing w:after="120"/>
      <w:ind w:left="720"/>
    </w:pPr>
  </w:style>
  <w:style w:type="paragraph" w:styleId="98">
    <w:name w:val="List Continue 3"/>
    <w:basedOn w:val="1"/>
    <w:qFormat/>
    <w:uiPriority w:val="0"/>
    <w:pPr>
      <w:spacing w:after="120"/>
      <w:ind w:left="1080"/>
    </w:pPr>
  </w:style>
  <w:style w:type="paragraph" w:styleId="99">
    <w:name w:val="List Continue 4"/>
    <w:basedOn w:val="1"/>
    <w:qFormat/>
    <w:uiPriority w:val="0"/>
    <w:pPr>
      <w:spacing w:after="120"/>
      <w:ind w:left="1440"/>
    </w:pPr>
  </w:style>
  <w:style w:type="paragraph" w:styleId="100">
    <w:name w:val="List Continue 5"/>
    <w:basedOn w:val="1"/>
    <w:qFormat/>
    <w:uiPriority w:val="0"/>
    <w:pPr>
      <w:spacing w:after="120"/>
      <w:ind w:left="1800"/>
    </w:pPr>
  </w:style>
  <w:style w:type="paragraph" w:styleId="101">
    <w:name w:val="List 2"/>
    <w:basedOn w:val="1"/>
    <w:qFormat/>
    <w:uiPriority w:val="0"/>
    <w:pPr>
      <w:ind w:left="720" w:hanging="360"/>
    </w:pPr>
  </w:style>
  <w:style w:type="paragraph" w:styleId="102">
    <w:name w:val="List 3"/>
    <w:basedOn w:val="1"/>
    <w:qFormat/>
    <w:uiPriority w:val="0"/>
    <w:pPr>
      <w:ind w:left="1080" w:hanging="360"/>
    </w:pPr>
  </w:style>
  <w:style w:type="paragraph" w:styleId="103">
    <w:name w:val="List 4"/>
    <w:basedOn w:val="1"/>
    <w:qFormat/>
    <w:uiPriority w:val="0"/>
    <w:pPr>
      <w:ind w:left="1440" w:hanging="360"/>
    </w:pPr>
  </w:style>
  <w:style w:type="paragraph" w:styleId="104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105">
    <w:name w:val="Block Text"/>
    <w:basedOn w:val="1"/>
    <w:uiPriority w:val="0"/>
    <w:pPr>
      <w:spacing w:after="120"/>
      <w:ind w:left="1440" w:right="1440"/>
    </w:pPr>
  </w:style>
  <w:style w:type="paragraph" w:styleId="10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7">
    <w:name w:val="E-mail Signature"/>
    <w:basedOn w:val="1"/>
    <w:uiPriority w:val="0"/>
  </w:style>
  <w:style w:type="table" w:styleId="108">
    <w:name w:val="Table Colorful 2"/>
    <w:basedOn w:val="13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2"/>
    <w:basedOn w:val="13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Subtle 1"/>
    <w:basedOn w:val="13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Theme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Web 3"/>
    <w:basedOn w:val="13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6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Simple 1"/>
    <w:basedOn w:val="13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1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3D effects 2"/>
    <w:basedOn w:val="13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5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lassic 4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0">
    <w:name w:val="Table Classic 1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Grid 5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2">
    <w:name w:val="Table 3D effects 3"/>
    <w:basedOn w:val="13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3"/>
    <w:basedOn w:val="13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Columns 4"/>
    <w:basedOn w:val="13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5">
    <w:name w:val="Table Classic 3"/>
    <w:basedOn w:val="13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Professional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7">
    <w:name w:val="Table Elegant"/>
    <w:basedOn w:val="13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Colorful 1"/>
    <w:basedOn w:val="13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List 3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Web 2"/>
    <w:basedOn w:val="13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List 7"/>
    <w:basedOn w:val="13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2">
    <w:name w:val="Table Contemporary"/>
    <w:basedOn w:val="13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3">
    <w:name w:val="Table List 6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4">
    <w:name w:val="Table Grid 4"/>
    <w:basedOn w:val="13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1"/>
    <w:basedOn w:val="13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List 8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7">
    <w:name w:val="Table Grid 3"/>
    <w:basedOn w:val="13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Subtle 2"/>
    <w:basedOn w:val="13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4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0">
    <w:name w:val="Table List 1"/>
    <w:basedOn w:val="13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Web 1"/>
    <w:basedOn w:val="13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Colorful 3"/>
    <w:basedOn w:val="13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3">
    <w:name w:val="Table Columns 5"/>
    <w:basedOn w:val="13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4">
    <w:name w:val="Table Classic 2"/>
    <w:basedOn w:val="13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Table Grid 7"/>
    <w:basedOn w:val="13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6">
    <w:name w:val="Table 3D effects 1"/>
    <w:basedOn w:val="13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Columns 2"/>
    <w:basedOn w:val="13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2"/>
    <w:basedOn w:val="13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9">
    <w:name w:val="Table Simple 3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0">
    <w:name w:val="Table Grid 8"/>
    <w:basedOn w:val="13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1">
    <w:name w:val="Table List 2"/>
    <w:basedOn w:val="13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2">
    <w:name w:val="подзаголовок 2"/>
    <w:basedOn w:val="1"/>
    <w:next w:val="4"/>
    <w:link w:val="154"/>
    <w:uiPriority w:val="0"/>
    <w:pPr>
      <w:spacing w:line="360" w:lineRule="auto"/>
      <w:ind w:firstLine="708"/>
      <w:jc w:val="left"/>
    </w:pPr>
    <w:rPr>
      <w:rFonts w:ascii="Times New Roman" w:hAnsi="Times New Roman"/>
      <w:b/>
      <w:color w:val="000000"/>
      <w:sz w:val="28"/>
    </w:rPr>
  </w:style>
  <w:style w:type="character" w:customStyle="1" w:styleId="153">
    <w:name w:val="Стиль 1 текст Char"/>
    <w:link w:val="4"/>
    <w:uiPriority w:val="0"/>
    <w:rPr>
      <w:rFonts w:ascii="Times New Roman" w:hAnsi="Times New Roman"/>
      <w:color w:val="000000"/>
      <w:sz w:val="28"/>
      <w:lang w:val="ru-RU"/>
    </w:rPr>
  </w:style>
  <w:style w:type="character" w:customStyle="1" w:styleId="154">
    <w:name w:val="подзаголовок 2 Char"/>
    <w:link w:val="152"/>
    <w:uiPriority w:val="0"/>
    <w:rPr>
      <w:rFonts w:ascii="Times New Roman" w:hAnsi="Times New Roman"/>
      <w:b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9.png"/><Relationship Id="rId14" Type="http://schemas.openxmlformats.org/officeDocument/2006/relationships/image" Target="media/image8.emf"/><Relationship Id="rId13" Type="http://schemas.openxmlformats.org/officeDocument/2006/relationships/image" Target="media/image7.emf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2025-02-01T20:07:00Z</dcterms:created>
  <dc:creator>Валерия</dc:creator>
  <cp:lastModifiedBy>Валерия</cp:lastModifiedBy>
  <dcterms:modified xsi:type="dcterms:W3CDTF">2025-12-04T14:48:57Z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12056935AE364452BDA233B2AAC4D70C_12</vt:lpwstr>
  </property>
</Properties>
</file>