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268" w:rsidRDefault="00C41268" w:rsidP="00C41268">
      <w:pPr>
        <w:spacing w:after="0"/>
        <w:jc w:val="center"/>
        <w:rPr>
          <w:rFonts w:ascii="Arial" w:hAnsi="Arial" w:cs="Arial"/>
          <w:sz w:val="32"/>
          <w:szCs w:val="32"/>
          <w:lang w:val="en-US"/>
        </w:rPr>
      </w:pPr>
      <w:r>
        <w:rPr>
          <w:rFonts w:ascii="Arial" w:hAnsi="Arial" w:cs="Arial"/>
          <w:noProof/>
          <w:sz w:val="32"/>
          <w:szCs w:val="32"/>
          <w:lang w:eastAsia="ru-RU"/>
        </w:rPr>
        <w:drawing>
          <wp:anchor distT="0" distB="0" distL="114300" distR="114300" simplePos="0" relativeHeight="251665408" behindDoc="0" locked="0" layoutInCell="1" allowOverlap="1">
            <wp:simplePos x="0" y="0"/>
            <wp:positionH relativeFrom="column">
              <wp:posOffset>2484755</wp:posOffset>
            </wp:positionH>
            <wp:positionV relativeFrom="paragraph">
              <wp:posOffset>-43180</wp:posOffset>
            </wp:positionV>
            <wp:extent cx="1127125" cy="723265"/>
            <wp:effectExtent l="19050" t="0" r="0" b="0"/>
            <wp:wrapSquare wrapText="bothSides"/>
            <wp:docPr id="4" name="Рисунок 2"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Бланки, логотипы, подписи\jinr-blue-small.png"/>
                    <pic:cNvPicPr>
                      <a:picLocks noChangeAspect="1" noChangeArrowheads="1"/>
                    </pic:cNvPicPr>
                  </pic:nvPicPr>
                  <pic:blipFill>
                    <a:blip r:embed="rId8"/>
                    <a:srcRect/>
                    <a:stretch>
                      <a:fillRect/>
                    </a:stretch>
                  </pic:blipFill>
                  <pic:spPr bwMode="auto">
                    <a:xfrm>
                      <a:off x="0" y="0"/>
                      <a:ext cx="1127125" cy="723265"/>
                    </a:xfrm>
                    <a:prstGeom prst="rect">
                      <a:avLst/>
                    </a:prstGeom>
                    <a:noFill/>
                    <a:ln w="9525">
                      <a:noFill/>
                      <a:miter lim="800000"/>
                      <a:headEnd/>
                      <a:tailEnd/>
                    </a:ln>
                  </pic:spPr>
                </pic:pic>
              </a:graphicData>
            </a:graphic>
          </wp:anchor>
        </w:drawing>
      </w:r>
    </w:p>
    <w:p w:rsidR="00C41268" w:rsidRDefault="00C41268" w:rsidP="00C41268">
      <w:pPr>
        <w:spacing w:after="0"/>
        <w:jc w:val="center"/>
        <w:rPr>
          <w:rFonts w:ascii="Arial" w:hAnsi="Arial" w:cs="Arial"/>
          <w:sz w:val="32"/>
          <w:szCs w:val="32"/>
          <w:lang w:val="en-US"/>
        </w:rPr>
      </w:pPr>
    </w:p>
    <w:p w:rsidR="00C41268" w:rsidRDefault="00C41268" w:rsidP="00C41268">
      <w:pPr>
        <w:spacing w:after="0"/>
        <w:jc w:val="center"/>
        <w:rPr>
          <w:rFonts w:ascii="Arial" w:hAnsi="Arial" w:cs="Arial"/>
          <w:sz w:val="32"/>
          <w:szCs w:val="32"/>
          <w:lang w:val="en-US"/>
        </w:rPr>
      </w:pPr>
    </w:p>
    <w:p w:rsidR="00C41268" w:rsidRDefault="00C41268" w:rsidP="00C41268">
      <w:pPr>
        <w:spacing w:after="0"/>
        <w:jc w:val="center"/>
        <w:rPr>
          <w:rFonts w:ascii="Arial" w:hAnsi="Arial" w:cs="Arial"/>
          <w:sz w:val="32"/>
          <w:szCs w:val="32"/>
          <w:lang w:val="en-US"/>
        </w:rPr>
      </w:pPr>
    </w:p>
    <w:p w:rsidR="00C41268" w:rsidRPr="00ED09F9" w:rsidRDefault="00C41268" w:rsidP="00C41268">
      <w:pPr>
        <w:spacing w:after="0"/>
        <w:jc w:val="center"/>
        <w:rPr>
          <w:rFonts w:ascii="Arial" w:hAnsi="Arial" w:cs="Arial"/>
          <w:sz w:val="40"/>
          <w:szCs w:val="40"/>
          <w:lang w:val="en-US"/>
        </w:rPr>
      </w:pPr>
      <w:r w:rsidRPr="00ED09F9">
        <w:rPr>
          <w:rFonts w:ascii="Arial" w:hAnsi="Arial" w:cs="Arial"/>
          <w:sz w:val="40"/>
          <w:szCs w:val="40"/>
          <w:lang w:val="en-US"/>
        </w:rPr>
        <w:t>JOINT  INSTITUTE  FOR  NUCLEAR  RESEARCH</w:t>
      </w:r>
    </w:p>
    <w:p w:rsidR="00C41268" w:rsidRPr="00C41268" w:rsidRDefault="00C41268" w:rsidP="00C41268">
      <w:pPr>
        <w:spacing w:after="0"/>
        <w:jc w:val="center"/>
        <w:rPr>
          <w:rFonts w:ascii="Arial" w:hAnsi="Arial" w:cs="Arial"/>
          <w:sz w:val="36"/>
          <w:szCs w:val="36"/>
          <w:lang w:val="en-US"/>
        </w:rPr>
      </w:pPr>
      <w:r w:rsidRPr="00C513E9">
        <w:rPr>
          <w:rFonts w:ascii="Arial" w:eastAsia="Arial" w:hAnsi="Arial" w:cs="Arial"/>
          <w:sz w:val="36"/>
          <w:szCs w:val="36"/>
          <w:lang w:val="en-US"/>
        </w:rPr>
        <w:t>Frank Laboratory of Neutron Physics</w:t>
      </w:r>
    </w:p>
    <w:p w:rsidR="00C41268" w:rsidRDefault="00C41268" w:rsidP="00C41268">
      <w:pPr>
        <w:spacing w:after="0"/>
        <w:rPr>
          <w:rFonts w:ascii="Arial" w:hAnsi="Arial" w:cs="Arial"/>
          <w:lang w:val="en-US"/>
        </w:rPr>
      </w:pPr>
    </w:p>
    <w:p w:rsidR="00C41268" w:rsidRDefault="00C41268" w:rsidP="00C41268">
      <w:pPr>
        <w:spacing w:after="0"/>
        <w:rPr>
          <w:rFonts w:ascii="Arial" w:hAnsi="Arial" w:cs="Arial"/>
          <w:lang w:val="en-US"/>
        </w:rPr>
      </w:pPr>
    </w:p>
    <w:p w:rsidR="00C41268" w:rsidRDefault="00C41268" w:rsidP="00C41268">
      <w:pPr>
        <w:spacing w:after="0"/>
        <w:rPr>
          <w:rFonts w:ascii="Arial" w:hAnsi="Arial" w:cs="Arial"/>
          <w:lang w:val="en-US"/>
        </w:rPr>
      </w:pPr>
    </w:p>
    <w:p w:rsidR="00C41268" w:rsidRDefault="00C41268" w:rsidP="00C41268">
      <w:pPr>
        <w:spacing w:after="0"/>
        <w:rPr>
          <w:rFonts w:ascii="Arial" w:hAnsi="Arial" w:cs="Arial"/>
          <w:lang w:val="en-US"/>
        </w:rPr>
      </w:pPr>
    </w:p>
    <w:p w:rsidR="00C41268" w:rsidRPr="002777FB" w:rsidRDefault="00C41268" w:rsidP="00C41268">
      <w:pPr>
        <w:spacing w:after="0"/>
        <w:rPr>
          <w:rFonts w:ascii="Arial" w:hAnsi="Arial" w:cs="Arial"/>
          <w:lang w:val="en-US"/>
        </w:rPr>
      </w:pPr>
    </w:p>
    <w:p w:rsidR="00C41268" w:rsidRPr="00F3613C" w:rsidRDefault="00C41268" w:rsidP="00C41268">
      <w:pPr>
        <w:spacing w:after="0"/>
        <w:jc w:val="center"/>
        <w:rPr>
          <w:rFonts w:ascii="Arial" w:hAnsi="Arial" w:cs="Arial"/>
          <w:b/>
          <w:w w:val="95"/>
          <w:sz w:val="52"/>
          <w:szCs w:val="52"/>
          <w:lang w:val="en-US"/>
        </w:rPr>
      </w:pPr>
      <w:r w:rsidRPr="00F3613C">
        <w:rPr>
          <w:rFonts w:ascii="Arial" w:hAnsi="Arial" w:cs="Arial"/>
          <w:b/>
          <w:w w:val="95"/>
          <w:sz w:val="52"/>
          <w:szCs w:val="52"/>
          <w:lang w:val="en-US"/>
        </w:rPr>
        <w:t>FINAL REPORT ON THE</w:t>
      </w:r>
    </w:p>
    <w:p w:rsidR="00C41268" w:rsidRPr="004B16CD" w:rsidRDefault="00C41268" w:rsidP="00C41268">
      <w:pPr>
        <w:spacing w:after="0"/>
        <w:jc w:val="center"/>
        <w:rPr>
          <w:rFonts w:ascii="Arial" w:hAnsi="Arial" w:cs="Arial"/>
          <w:b/>
          <w:w w:val="95"/>
          <w:sz w:val="56"/>
          <w:szCs w:val="60"/>
          <w:lang w:val="en-US"/>
        </w:rPr>
      </w:pPr>
      <w:r w:rsidRPr="004B16CD">
        <w:rPr>
          <w:rFonts w:ascii="Arial" w:hAnsi="Arial" w:cs="Arial"/>
          <w:b/>
          <w:w w:val="95"/>
          <w:sz w:val="56"/>
          <w:szCs w:val="60"/>
          <w:lang w:val="en-US"/>
        </w:rPr>
        <w:t xml:space="preserve">INTEREST PROGRAMME </w:t>
      </w:r>
    </w:p>
    <w:p w:rsidR="00C41268" w:rsidRDefault="00C41268" w:rsidP="00C41268">
      <w:pPr>
        <w:spacing w:after="0"/>
        <w:rPr>
          <w:rFonts w:ascii="Arial" w:hAnsi="Arial" w:cs="Arial"/>
          <w:lang w:val="en-US"/>
        </w:rPr>
      </w:pPr>
    </w:p>
    <w:p w:rsidR="004025E3" w:rsidRPr="00F03F0E" w:rsidRDefault="004025E3" w:rsidP="00C41268">
      <w:pPr>
        <w:spacing w:after="0"/>
        <w:rPr>
          <w:rFonts w:ascii="Arial" w:hAnsi="Arial" w:cs="Arial"/>
          <w:lang w:val="en-US"/>
        </w:rPr>
      </w:pPr>
    </w:p>
    <w:p w:rsidR="00C41268" w:rsidRPr="002777FB" w:rsidRDefault="00C41268" w:rsidP="00C41268">
      <w:pPr>
        <w:spacing w:after="0"/>
        <w:rPr>
          <w:rFonts w:ascii="Arial" w:hAnsi="Arial" w:cs="Arial"/>
          <w:lang w:val="en-US"/>
        </w:rPr>
      </w:pPr>
    </w:p>
    <w:p w:rsidR="005A6EB9" w:rsidRPr="00F03F0E" w:rsidRDefault="005A6EB9" w:rsidP="005A6EB9">
      <w:pPr>
        <w:spacing w:after="0"/>
        <w:jc w:val="center"/>
        <w:rPr>
          <w:rFonts w:ascii="Arial" w:hAnsi="Arial" w:cs="Arial"/>
          <w:i/>
          <w:sz w:val="48"/>
          <w:szCs w:val="48"/>
          <w:lang w:val="en-US"/>
        </w:rPr>
      </w:pPr>
      <w:r w:rsidRPr="005A6EB9">
        <w:rPr>
          <w:rFonts w:ascii="Arial" w:hAnsi="Arial" w:cs="Arial"/>
          <w:i/>
          <w:sz w:val="48"/>
          <w:szCs w:val="48"/>
          <w:lang w:val="en-US"/>
        </w:rPr>
        <w:t xml:space="preserve">Computational Chemistry Methods </w:t>
      </w:r>
    </w:p>
    <w:p w:rsidR="005A6EB9" w:rsidRPr="005A6EB9" w:rsidRDefault="005A6EB9" w:rsidP="005A6EB9">
      <w:pPr>
        <w:spacing w:after="0"/>
        <w:jc w:val="center"/>
        <w:rPr>
          <w:rFonts w:ascii="Arial" w:hAnsi="Arial" w:cs="Arial"/>
          <w:i/>
          <w:sz w:val="48"/>
          <w:szCs w:val="48"/>
          <w:lang w:val="en-US"/>
        </w:rPr>
      </w:pPr>
      <w:r w:rsidRPr="005A6EB9">
        <w:rPr>
          <w:rFonts w:ascii="Arial" w:hAnsi="Arial" w:cs="Arial"/>
          <w:i/>
          <w:sz w:val="48"/>
          <w:szCs w:val="48"/>
          <w:lang w:val="en-US"/>
        </w:rPr>
        <w:t xml:space="preserve">for Studying Conformational Properties </w:t>
      </w:r>
    </w:p>
    <w:p w:rsidR="005A6EB9" w:rsidRPr="005A6EB9" w:rsidRDefault="005A6EB9" w:rsidP="005A6EB9">
      <w:pPr>
        <w:spacing w:after="0"/>
        <w:jc w:val="center"/>
        <w:rPr>
          <w:rFonts w:ascii="Arial" w:hAnsi="Arial" w:cs="Arial"/>
          <w:i/>
          <w:sz w:val="48"/>
          <w:szCs w:val="48"/>
          <w:lang w:val="en-US"/>
        </w:rPr>
      </w:pPr>
      <w:r w:rsidRPr="005A6EB9">
        <w:rPr>
          <w:rFonts w:ascii="Arial" w:hAnsi="Arial" w:cs="Arial"/>
          <w:i/>
          <w:sz w:val="48"/>
          <w:szCs w:val="48"/>
          <w:lang w:val="en-US"/>
        </w:rPr>
        <w:t xml:space="preserve">of Small Drug Molecules </w:t>
      </w:r>
    </w:p>
    <w:p w:rsidR="00C41268" w:rsidRPr="005A6EB9" w:rsidRDefault="005A6EB9" w:rsidP="005A6EB9">
      <w:pPr>
        <w:spacing w:after="0"/>
        <w:jc w:val="center"/>
        <w:rPr>
          <w:rFonts w:ascii="Arial" w:hAnsi="Arial" w:cs="Arial"/>
          <w:i/>
          <w:sz w:val="48"/>
          <w:szCs w:val="48"/>
          <w:lang w:val="en-US"/>
        </w:rPr>
      </w:pPr>
      <w:r w:rsidRPr="005A6EB9">
        <w:rPr>
          <w:rFonts w:ascii="Arial" w:hAnsi="Arial" w:cs="Arial"/>
          <w:i/>
          <w:sz w:val="48"/>
          <w:szCs w:val="48"/>
          <w:lang w:val="en-US"/>
        </w:rPr>
        <w:t>(Sumatriptan as a Case Study)</w:t>
      </w:r>
    </w:p>
    <w:p w:rsidR="00C41268" w:rsidRDefault="00C41268" w:rsidP="00C41268">
      <w:pPr>
        <w:spacing w:after="0"/>
        <w:rPr>
          <w:rFonts w:ascii="Arial" w:hAnsi="Arial" w:cs="Arial"/>
          <w:lang w:val="en-US"/>
        </w:rPr>
      </w:pPr>
    </w:p>
    <w:p w:rsidR="004025E3" w:rsidRPr="005A6EB9" w:rsidRDefault="004025E3" w:rsidP="00C41268">
      <w:pPr>
        <w:spacing w:after="0"/>
        <w:rPr>
          <w:rFonts w:ascii="Arial" w:hAnsi="Arial" w:cs="Arial"/>
          <w:lang w:val="en-US"/>
        </w:rPr>
      </w:pPr>
    </w:p>
    <w:p w:rsidR="00C41268" w:rsidRDefault="00C41268" w:rsidP="00C41268">
      <w:pPr>
        <w:spacing w:after="0"/>
        <w:rPr>
          <w:rFonts w:ascii="Arial" w:hAnsi="Arial" w:cs="Arial"/>
          <w:lang w:val="en-US"/>
        </w:rPr>
      </w:pPr>
    </w:p>
    <w:p w:rsidR="00C41268" w:rsidRPr="00A57F78" w:rsidRDefault="00C41268" w:rsidP="00C41268">
      <w:pPr>
        <w:spacing w:after="0"/>
        <w:ind w:left="4536"/>
        <w:rPr>
          <w:rFonts w:ascii="Arial" w:hAnsi="Arial" w:cs="Arial"/>
          <w:b/>
          <w:sz w:val="36"/>
          <w:szCs w:val="36"/>
          <w:lang w:val="en-US"/>
        </w:rPr>
      </w:pPr>
      <w:r w:rsidRPr="00A57F78">
        <w:rPr>
          <w:rFonts w:ascii="Arial" w:hAnsi="Arial" w:cs="Arial"/>
          <w:b/>
          <w:sz w:val="36"/>
          <w:szCs w:val="36"/>
          <w:lang w:val="en-US"/>
        </w:rPr>
        <w:t xml:space="preserve">Supervisor: </w:t>
      </w:r>
    </w:p>
    <w:p w:rsidR="00C41268" w:rsidRPr="00A4277C" w:rsidRDefault="00C41268" w:rsidP="00C41268">
      <w:pPr>
        <w:spacing w:after="0"/>
        <w:ind w:left="4536"/>
        <w:rPr>
          <w:rFonts w:ascii="Arial" w:hAnsi="Arial" w:cs="Arial"/>
          <w:sz w:val="36"/>
          <w:szCs w:val="36"/>
          <w:lang w:val="en-US"/>
        </w:rPr>
      </w:pPr>
      <w:r w:rsidRPr="00A4277C">
        <w:rPr>
          <w:rFonts w:ascii="Arial" w:hAnsi="Arial" w:cs="Arial"/>
          <w:sz w:val="36"/>
          <w:szCs w:val="36"/>
          <w:lang w:val="en-US"/>
        </w:rPr>
        <w:t xml:space="preserve">Dr. </w:t>
      </w:r>
      <w:r w:rsidR="001E6B2F">
        <w:rPr>
          <w:rFonts w:ascii="Arial" w:hAnsi="Arial" w:cs="Arial"/>
          <w:sz w:val="36"/>
          <w:szCs w:val="36"/>
          <w:lang w:val="en-US"/>
        </w:rPr>
        <w:t>Polina Kobchikova</w:t>
      </w:r>
    </w:p>
    <w:p w:rsidR="00C41268" w:rsidRPr="00A4277C" w:rsidRDefault="00C41268" w:rsidP="00C41268">
      <w:pPr>
        <w:spacing w:after="0"/>
        <w:ind w:left="4536"/>
        <w:rPr>
          <w:rFonts w:ascii="Arial" w:hAnsi="Arial" w:cs="Arial"/>
          <w:sz w:val="36"/>
          <w:szCs w:val="36"/>
          <w:lang w:val="en-US"/>
        </w:rPr>
      </w:pPr>
    </w:p>
    <w:p w:rsidR="00C41268" w:rsidRPr="00A57F78" w:rsidRDefault="00C41268" w:rsidP="00C41268">
      <w:pPr>
        <w:spacing w:after="0"/>
        <w:ind w:left="4536"/>
        <w:rPr>
          <w:rFonts w:ascii="Arial" w:hAnsi="Arial" w:cs="Arial"/>
          <w:b/>
          <w:sz w:val="36"/>
          <w:szCs w:val="36"/>
          <w:lang w:val="en-US"/>
        </w:rPr>
      </w:pPr>
      <w:r w:rsidRPr="00A57F78">
        <w:rPr>
          <w:rFonts w:ascii="Arial" w:hAnsi="Arial" w:cs="Arial"/>
          <w:b/>
          <w:sz w:val="36"/>
          <w:szCs w:val="36"/>
          <w:lang w:val="en-US"/>
        </w:rPr>
        <w:t xml:space="preserve">Student: </w:t>
      </w:r>
    </w:p>
    <w:p w:rsidR="00C41268" w:rsidRPr="00BF4555" w:rsidRDefault="00C41268" w:rsidP="00C41268">
      <w:pPr>
        <w:spacing w:after="0"/>
        <w:ind w:left="4536"/>
        <w:rPr>
          <w:rFonts w:ascii="Arial" w:hAnsi="Arial" w:cs="Arial"/>
          <w:sz w:val="36"/>
          <w:szCs w:val="36"/>
          <w:lang w:val="en-US"/>
        </w:rPr>
      </w:pPr>
      <w:r w:rsidRPr="00C513E9">
        <w:rPr>
          <w:rFonts w:ascii="Arial" w:eastAsia="Arial" w:hAnsi="Arial" w:cs="Arial"/>
          <w:sz w:val="36"/>
          <w:szCs w:val="36"/>
          <w:lang w:val="en-US"/>
        </w:rPr>
        <w:t>Liana Asbapova, Russia</w:t>
      </w:r>
      <w:r w:rsidRPr="00C513E9">
        <w:rPr>
          <w:rFonts w:ascii="Arial" w:eastAsia="Arial" w:hAnsi="Arial" w:cs="Arial"/>
          <w:sz w:val="36"/>
          <w:szCs w:val="36"/>
          <w:lang w:val="en-US"/>
        </w:rPr>
        <w:br/>
        <w:t>Kazan Federal University</w:t>
      </w:r>
    </w:p>
    <w:p w:rsidR="00C41268" w:rsidRDefault="00C41268" w:rsidP="00C41268">
      <w:pPr>
        <w:spacing w:after="0"/>
        <w:ind w:left="4536"/>
        <w:rPr>
          <w:rFonts w:ascii="Arial" w:hAnsi="Arial" w:cs="Arial"/>
          <w:sz w:val="36"/>
          <w:szCs w:val="36"/>
          <w:lang w:val="en-US"/>
        </w:rPr>
      </w:pPr>
    </w:p>
    <w:p w:rsidR="00C41268" w:rsidRPr="00A57F78" w:rsidRDefault="00C41268" w:rsidP="00C41268">
      <w:pPr>
        <w:spacing w:after="0"/>
        <w:ind w:left="4536"/>
        <w:rPr>
          <w:rFonts w:ascii="Arial" w:hAnsi="Arial" w:cs="Arial"/>
          <w:b/>
          <w:sz w:val="36"/>
          <w:szCs w:val="36"/>
          <w:lang w:val="en-US"/>
        </w:rPr>
      </w:pPr>
      <w:r>
        <w:rPr>
          <w:rFonts w:ascii="Arial" w:hAnsi="Arial" w:cs="Arial"/>
          <w:b/>
          <w:sz w:val="36"/>
          <w:szCs w:val="36"/>
          <w:lang w:val="en-US"/>
        </w:rPr>
        <w:t>P</w:t>
      </w:r>
      <w:r w:rsidRPr="00A57F78">
        <w:rPr>
          <w:rFonts w:ascii="Arial" w:hAnsi="Arial" w:cs="Arial"/>
          <w:b/>
          <w:sz w:val="36"/>
          <w:szCs w:val="36"/>
          <w:lang w:val="en-US"/>
        </w:rPr>
        <w:t xml:space="preserve">articipation </w:t>
      </w:r>
      <w:r>
        <w:rPr>
          <w:rFonts w:ascii="Arial" w:hAnsi="Arial" w:cs="Arial"/>
          <w:b/>
          <w:sz w:val="36"/>
          <w:szCs w:val="36"/>
          <w:lang w:val="en-US"/>
        </w:rPr>
        <w:t>p</w:t>
      </w:r>
      <w:r w:rsidRPr="00A57F78">
        <w:rPr>
          <w:rFonts w:ascii="Arial" w:hAnsi="Arial" w:cs="Arial"/>
          <w:b/>
          <w:sz w:val="36"/>
          <w:szCs w:val="36"/>
          <w:lang w:val="en-US"/>
        </w:rPr>
        <w:t>eriod:</w:t>
      </w:r>
    </w:p>
    <w:p w:rsidR="00C41268" w:rsidRPr="00F03F0E" w:rsidRDefault="00D4164A" w:rsidP="005A6EB9">
      <w:pPr>
        <w:spacing w:after="0"/>
        <w:ind w:left="4536"/>
        <w:rPr>
          <w:rFonts w:ascii="Arial" w:hAnsi="Arial" w:cs="Arial"/>
          <w:sz w:val="36"/>
          <w:szCs w:val="36"/>
          <w:lang w:val="en-US"/>
        </w:rPr>
      </w:pPr>
      <w:r>
        <w:rPr>
          <w:rFonts w:ascii="Arial" w:hAnsi="Arial" w:cs="Arial"/>
          <w:sz w:val="36"/>
          <w:szCs w:val="36"/>
          <w:lang w:val="en-US"/>
        </w:rPr>
        <w:t>October 20 – November 3</w:t>
      </w:r>
      <w:r w:rsidR="00C41268">
        <w:rPr>
          <w:rFonts w:ascii="Arial" w:hAnsi="Arial" w:cs="Arial"/>
          <w:sz w:val="36"/>
          <w:szCs w:val="36"/>
          <w:lang w:val="en-US"/>
        </w:rPr>
        <w:t>0, Wave 1</w:t>
      </w:r>
      <w:bookmarkStart w:id="0" w:name="_GoBack"/>
      <w:bookmarkEnd w:id="0"/>
      <w:r>
        <w:rPr>
          <w:rFonts w:ascii="Arial" w:hAnsi="Arial" w:cs="Arial"/>
          <w:sz w:val="36"/>
          <w:szCs w:val="36"/>
          <w:lang w:val="en-US"/>
        </w:rPr>
        <w:t>3</w:t>
      </w:r>
    </w:p>
    <w:p w:rsidR="004025E3" w:rsidRPr="001E6B2F" w:rsidRDefault="004025E3" w:rsidP="004025E3">
      <w:pPr>
        <w:spacing w:after="0"/>
        <w:rPr>
          <w:rFonts w:ascii="Arial" w:hAnsi="Arial" w:cs="Arial"/>
          <w:sz w:val="36"/>
          <w:szCs w:val="36"/>
          <w:lang w:val="en-US"/>
        </w:rPr>
      </w:pPr>
    </w:p>
    <w:p w:rsidR="00C41268" w:rsidRPr="000814E0" w:rsidRDefault="00C41268" w:rsidP="00C41268">
      <w:pPr>
        <w:spacing w:after="0"/>
        <w:jc w:val="center"/>
        <w:rPr>
          <w:rFonts w:ascii="Arial" w:hAnsi="Arial" w:cs="Arial"/>
          <w:sz w:val="36"/>
          <w:szCs w:val="36"/>
          <w:lang w:val="en-US"/>
        </w:rPr>
      </w:pPr>
      <w:r>
        <w:rPr>
          <w:rFonts w:ascii="Arial" w:hAnsi="Arial" w:cs="Arial"/>
          <w:sz w:val="36"/>
          <w:szCs w:val="36"/>
          <w:lang w:val="en-US"/>
        </w:rPr>
        <w:t>Dubna, 2025</w:t>
      </w:r>
    </w:p>
    <w:sdt>
      <w:sdtPr>
        <w:rPr>
          <w:rFonts w:ascii="Times New Roman" w:eastAsiaTheme="minorHAnsi" w:hAnsi="Times New Roman" w:cstheme="minorBidi"/>
          <w:b w:val="0"/>
          <w:bCs w:val="0"/>
          <w:color w:val="auto"/>
          <w:szCs w:val="22"/>
        </w:rPr>
        <w:id w:val="4075016"/>
        <w:docPartObj>
          <w:docPartGallery w:val="Table of Contents"/>
          <w:docPartUnique/>
        </w:docPartObj>
      </w:sdtPr>
      <w:sdtContent>
        <w:p w:rsidR="004025E3" w:rsidRPr="00D4164A" w:rsidRDefault="004025E3" w:rsidP="004025E3">
          <w:pPr>
            <w:pStyle w:val="ad"/>
            <w:spacing w:before="0" w:line="360" w:lineRule="auto"/>
            <w:jc w:val="center"/>
            <w:rPr>
              <w:lang w:val="en-US"/>
            </w:rPr>
          </w:pPr>
          <w:r w:rsidRPr="004025E3">
            <w:rPr>
              <w:rFonts w:ascii="Times New Roman" w:hAnsi="Times New Roman" w:cs="Times New Roman"/>
              <w:b w:val="0"/>
              <w:color w:val="000000" w:themeColor="text1"/>
            </w:rPr>
            <w:t>СОДЕРЖАНИЕ</w:t>
          </w:r>
        </w:p>
        <w:p w:rsidR="007529A3" w:rsidRDefault="00AC65A7">
          <w:pPr>
            <w:pStyle w:val="11"/>
            <w:tabs>
              <w:tab w:val="right" w:leader="dot" w:pos="9345"/>
            </w:tabs>
            <w:rPr>
              <w:rFonts w:asciiTheme="minorHAnsi" w:eastAsiaTheme="minorEastAsia" w:hAnsiTheme="minorHAnsi"/>
              <w:noProof/>
              <w:sz w:val="22"/>
              <w:lang w:eastAsia="ru-RU"/>
            </w:rPr>
          </w:pPr>
          <w:r>
            <w:fldChar w:fldCharType="begin"/>
          </w:r>
          <w:r w:rsidR="004025E3">
            <w:instrText xml:space="preserve"> TOC \o "1-3" \h \z \u </w:instrText>
          </w:r>
          <w:r>
            <w:fldChar w:fldCharType="separate"/>
          </w:r>
          <w:hyperlink w:anchor="_Toc215743395" w:history="1">
            <w:r w:rsidR="007529A3" w:rsidRPr="002F3DA3">
              <w:rPr>
                <w:rStyle w:val="ab"/>
                <w:rFonts w:cs="Times New Roman"/>
                <w:noProof/>
              </w:rPr>
              <w:t>АННОТАЦИЯ</w:t>
            </w:r>
            <w:r w:rsidR="007529A3">
              <w:rPr>
                <w:noProof/>
                <w:webHidden/>
              </w:rPr>
              <w:tab/>
            </w:r>
            <w:r>
              <w:rPr>
                <w:noProof/>
                <w:webHidden/>
              </w:rPr>
              <w:fldChar w:fldCharType="begin"/>
            </w:r>
            <w:r w:rsidR="007529A3">
              <w:rPr>
                <w:noProof/>
                <w:webHidden/>
              </w:rPr>
              <w:instrText xml:space="preserve"> PAGEREF _Toc215743395 \h </w:instrText>
            </w:r>
            <w:r>
              <w:rPr>
                <w:noProof/>
                <w:webHidden/>
              </w:rPr>
            </w:r>
            <w:r>
              <w:rPr>
                <w:noProof/>
                <w:webHidden/>
              </w:rPr>
              <w:fldChar w:fldCharType="separate"/>
            </w:r>
            <w:r w:rsidR="007529A3">
              <w:rPr>
                <w:noProof/>
                <w:webHidden/>
              </w:rPr>
              <w:t>3</w:t>
            </w:r>
            <w:r>
              <w:rPr>
                <w:noProof/>
                <w:webHidden/>
              </w:rPr>
              <w:fldChar w:fldCharType="end"/>
            </w:r>
          </w:hyperlink>
        </w:p>
        <w:p w:rsidR="007529A3" w:rsidRDefault="00AC65A7">
          <w:pPr>
            <w:pStyle w:val="11"/>
            <w:tabs>
              <w:tab w:val="right" w:leader="dot" w:pos="9345"/>
            </w:tabs>
            <w:rPr>
              <w:rFonts w:asciiTheme="minorHAnsi" w:eastAsiaTheme="minorEastAsia" w:hAnsiTheme="minorHAnsi"/>
              <w:noProof/>
              <w:sz w:val="22"/>
              <w:lang w:eastAsia="ru-RU"/>
            </w:rPr>
          </w:pPr>
          <w:hyperlink w:anchor="_Toc215743396" w:history="1">
            <w:r w:rsidR="007529A3" w:rsidRPr="002F3DA3">
              <w:rPr>
                <w:rStyle w:val="ab"/>
                <w:rFonts w:cs="Times New Roman"/>
                <w:noProof/>
              </w:rPr>
              <w:t>ВВЕДЕНИЕ</w:t>
            </w:r>
            <w:r w:rsidR="007529A3">
              <w:rPr>
                <w:noProof/>
                <w:webHidden/>
              </w:rPr>
              <w:tab/>
            </w:r>
            <w:r>
              <w:rPr>
                <w:noProof/>
                <w:webHidden/>
              </w:rPr>
              <w:fldChar w:fldCharType="begin"/>
            </w:r>
            <w:r w:rsidR="007529A3">
              <w:rPr>
                <w:noProof/>
                <w:webHidden/>
              </w:rPr>
              <w:instrText xml:space="preserve"> PAGEREF _Toc215743396 \h </w:instrText>
            </w:r>
            <w:r>
              <w:rPr>
                <w:noProof/>
                <w:webHidden/>
              </w:rPr>
            </w:r>
            <w:r>
              <w:rPr>
                <w:noProof/>
                <w:webHidden/>
              </w:rPr>
              <w:fldChar w:fldCharType="separate"/>
            </w:r>
            <w:r w:rsidR="007529A3">
              <w:rPr>
                <w:noProof/>
                <w:webHidden/>
              </w:rPr>
              <w:t>4</w:t>
            </w:r>
            <w:r>
              <w:rPr>
                <w:noProof/>
                <w:webHidden/>
              </w:rPr>
              <w:fldChar w:fldCharType="end"/>
            </w:r>
          </w:hyperlink>
        </w:p>
        <w:p w:rsidR="007529A3" w:rsidRDefault="00AC65A7">
          <w:pPr>
            <w:pStyle w:val="11"/>
            <w:tabs>
              <w:tab w:val="left" w:pos="560"/>
              <w:tab w:val="right" w:leader="dot" w:pos="9345"/>
            </w:tabs>
            <w:rPr>
              <w:rFonts w:asciiTheme="minorHAnsi" w:eastAsiaTheme="minorEastAsia" w:hAnsiTheme="minorHAnsi"/>
              <w:noProof/>
              <w:sz w:val="22"/>
              <w:lang w:eastAsia="ru-RU"/>
            </w:rPr>
          </w:pPr>
          <w:hyperlink w:anchor="_Toc215743397" w:history="1">
            <w:r w:rsidR="007529A3" w:rsidRPr="002F3DA3">
              <w:rPr>
                <w:rStyle w:val="ab"/>
                <w:rFonts w:cs="Times New Roman"/>
                <w:noProof/>
                <w:lang w:val="en-US"/>
              </w:rPr>
              <w:t>1.</w:t>
            </w:r>
            <w:r w:rsidR="007529A3">
              <w:rPr>
                <w:rFonts w:asciiTheme="minorHAnsi" w:eastAsiaTheme="minorEastAsia" w:hAnsiTheme="minorHAnsi"/>
                <w:noProof/>
                <w:sz w:val="22"/>
                <w:lang w:eastAsia="ru-RU"/>
              </w:rPr>
              <w:tab/>
            </w:r>
            <w:r w:rsidR="007529A3" w:rsidRPr="002F3DA3">
              <w:rPr>
                <w:rStyle w:val="ab"/>
                <w:rFonts w:cs="Times New Roman"/>
                <w:noProof/>
              </w:rPr>
              <w:t xml:space="preserve">Теоретические основы </w:t>
            </w:r>
            <w:r w:rsidR="007529A3" w:rsidRPr="002F3DA3">
              <w:rPr>
                <w:rStyle w:val="ab"/>
                <w:rFonts w:cs="Times New Roman"/>
                <w:noProof/>
                <w:lang w:val="en-US"/>
              </w:rPr>
              <w:t>DFT</w:t>
            </w:r>
            <w:r w:rsidR="007529A3">
              <w:rPr>
                <w:noProof/>
                <w:webHidden/>
              </w:rPr>
              <w:tab/>
            </w:r>
            <w:r>
              <w:rPr>
                <w:noProof/>
                <w:webHidden/>
              </w:rPr>
              <w:fldChar w:fldCharType="begin"/>
            </w:r>
            <w:r w:rsidR="007529A3">
              <w:rPr>
                <w:noProof/>
                <w:webHidden/>
              </w:rPr>
              <w:instrText xml:space="preserve"> PAGEREF _Toc215743397 \h </w:instrText>
            </w:r>
            <w:r>
              <w:rPr>
                <w:noProof/>
                <w:webHidden/>
              </w:rPr>
            </w:r>
            <w:r>
              <w:rPr>
                <w:noProof/>
                <w:webHidden/>
              </w:rPr>
              <w:fldChar w:fldCharType="separate"/>
            </w:r>
            <w:r w:rsidR="007529A3">
              <w:rPr>
                <w:noProof/>
                <w:webHidden/>
              </w:rPr>
              <w:t>6</w:t>
            </w:r>
            <w:r>
              <w:rPr>
                <w:noProof/>
                <w:webHidden/>
              </w:rPr>
              <w:fldChar w:fldCharType="end"/>
            </w:r>
          </w:hyperlink>
        </w:p>
        <w:p w:rsidR="007529A3" w:rsidRDefault="00AC65A7">
          <w:pPr>
            <w:pStyle w:val="11"/>
            <w:tabs>
              <w:tab w:val="left" w:pos="560"/>
              <w:tab w:val="right" w:leader="dot" w:pos="9345"/>
            </w:tabs>
            <w:rPr>
              <w:rFonts w:asciiTheme="minorHAnsi" w:eastAsiaTheme="minorEastAsia" w:hAnsiTheme="minorHAnsi"/>
              <w:noProof/>
              <w:sz w:val="22"/>
              <w:lang w:eastAsia="ru-RU"/>
            </w:rPr>
          </w:pPr>
          <w:hyperlink w:anchor="_Toc215743398" w:history="1">
            <w:r w:rsidR="007529A3" w:rsidRPr="002F3DA3">
              <w:rPr>
                <w:rStyle w:val="ab"/>
                <w:rFonts w:cs="Times New Roman"/>
                <w:noProof/>
              </w:rPr>
              <w:t>2.</w:t>
            </w:r>
            <w:r w:rsidR="007529A3">
              <w:rPr>
                <w:rFonts w:asciiTheme="minorHAnsi" w:eastAsiaTheme="minorEastAsia" w:hAnsiTheme="minorHAnsi"/>
                <w:noProof/>
                <w:sz w:val="22"/>
                <w:lang w:eastAsia="ru-RU"/>
              </w:rPr>
              <w:tab/>
            </w:r>
            <w:r w:rsidR="007529A3" w:rsidRPr="002F3DA3">
              <w:rPr>
                <w:rStyle w:val="ab"/>
                <w:rFonts w:cs="Times New Roman"/>
                <w:noProof/>
              </w:rPr>
              <w:t>Вычислительные методы и программные комплексы</w:t>
            </w:r>
            <w:r w:rsidR="007529A3">
              <w:rPr>
                <w:noProof/>
                <w:webHidden/>
              </w:rPr>
              <w:tab/>
            </w:r>
            <w:r>
              <w:rPr>
                <w:noProof/>
                <w:webHidden/>
              </w:rPr>
              <w:fldChar w:fldCharType="begin"/>
            </w:r>
            <w:r w:rsidR="007529A3">
              <w:rPr>
                <w:noProof/>
                <w:webHidden/>
              </w:rPr>
              <w:instrText xml:space="preserve"> PAGEREF _Toc215743398 \h </w:instrText>
            </w:r>
            <w:r>
              <w:rPr>
                <w:noProof/>
                <w:webHidden/>
              </w:rPr>
            </w:r>
            <w:r>
              <w:rPr>
                <w:noProof/>
                <w:webHidden/>
              </w:rPr>
              <w:fldChar w:fldCharType="separate"/>
            </w:r>
            <w:r w:rsidR="007529A3">
              <w:rPr>
                <w:noProof/>
                <w:webHidden/>
              </w:rPr>
              <w:t>8</w:t>
            </w:r>
            <w:r>
              <w:rPr>
                <w:noProof/>
                <w:webHidden/>
              </w:rPr>
              <w:fldChar w:fldCharType="end"/>
            </w:r>
          </w:hyperlink>
        </w:p>
        <w:p w:rsidR="007529A3" w:rsidRDefault="00AC65A7">
          <w:pPr>
            <w:pStyle w:val="21"/>
            <w:tabs>
              <w:tab w:val="left" w:pos="1100"/>
              <w:tab w:val="right" w:leader="dot" w:pos="9345"/>
            </w:tabs>
            <w:rPr>
              <w:rFonts w:asciiTheme="minorHAnsi" w:eastAsiaTheme="minorEastAsia" w:hAnsiTheme="minorHAnsi"/>
              <w:noProof/>
              <w:sz w:val="22"/>
              <w:lang w:eastAsia="ru-RU"/>
            </w:rPr>
          </w:pPr>
          <w:hyperlink w:anchor="_Toc215743399" w:history="1">
            <w:r w:rsidR="007529A3" w:rsidRPr="002F3DA3">
              <w:rPr>
                <w:rStyle w:val="ab"/>
                <w:rFonts w:cs="Times New Roman"/>
                <w:noProof/>
              </w:rPr>
              <w:t>2.1.</w:t>
            </w:r>
            <w:r w:rsidR="007529A3">
              <w:rPr>
                <w:rFonts w:asciiTheme="minorHAnsi" w:eastAsiaTheme="minorEastAsia" w:hAnsiTheme="minorHAnsi"/>
                <w:noProof/>
                <w:sz w:val="22"/>
                <w:lang w:eastAsia="ru-RU"/>
              </w:rPr>
              <w:tab/>
            </w:r>
            <w:r w:rsidR="007529A3" w:rsidRPr="002F3DA3">
              <w:rPr>
                <w:rStyle w:val="ab"/>
                <w:rFonts w:cs="Times New Roman"/>
                <w:noProof/>
              </w:rPr>
              <w:t xml:space="preserve">Подсистема </w:t>
            </w:r>
            <w:r w:rsidR="007529A3" w:rsidRPr="002F3DA3">
              <w:rPr>
                <w:rStyle w:val="ab"/>
                <w:rFonts w:cs="Times New Roman"/>
                <w:noProof/>
                <w:lang w:val="en-US"/>
              </w:rPr>
              <w:t>Windows</w:t>
            </w:r>
            <w:r w:rsidR="007529A3" w:rsidRPr="002F3DA3">
              <w:rPr>
                <w:rStyle w:val="ab"/>
                <w:rFonts w:cs="Times New Roman"/>
                <w:noProof/>
              </w:rPr>
              <w:t xml:space="preserve"> для </w:t>
            </w:r>
            <w:r w:rsidR="007529A3" w:rsidRPr="002F3DA3">
              <w:rPr>
                <w:rStyle w:val="ab"/>
                <w:rFonts w:cs="Times New Roman"/>
                <w:noProof/>
                <w:lang w:val="en-US"/>
              </w:rPr>
              <w:t>Linux</w:t>
            </w:r>
            <w:r w:rsidR="007529A3" w:rsidRPr="002F3DA3">
              <w:rPr>
                <w:rStyle w:val="ab"/>
                <w:rFonts w:cs="Times New Roman"/>
                <w:noProof/>
              </w:rPr>
              <w:t xml:space="preserve"> (</w:t>
            </w:r>
            <w:r w:rsidR="007529A3" w:rsidRPr="002F3DA3">
              <w:rPr>
                <w:rStyle w:val="ab"/>
                <w:rFonts w:cs="Times New Roman"/>
                <w:noProof/>
                <w:lang w:val="en-US"/>
              </w:rPr>
              <w:t>WSL</w:t>
            </w:r>
            <w:r w:rsidR="007529A3" w:rsidRPr="002F3DA3">
              <w:rPr>
                <w:rStyle w:val="ab"/>
                <w:rFonts w:cs="Times New Roman"/>
                <w:noProof/>
              </w:rPr>
              <w:t>)</w:t>
            </w:r>
            <w:r w:rsidR="007529A3">
              <w:rPr>
                <w:noProof/>
                <w:webHidden/>
              </w:rPr>
              <w:tab/>
            </w:r>
            <w:r>
              <w:rPr>
                <w:noProof/>
                <w:webHidden/>
              </w:rPr>
              <w:fldChar w:fldCharType="begin"/>
            </w:r>
            <w:r w:rsidR="007529A3">
              <w:rPr>
                <w:noProof/>
                <w:webHidden/>
              </w:rPr>
              <w:instrText xml:space="preserve"> PAGEREF _Toc215743399 \h </w:instrText>
            </w:r>
            <w:r>
              <w:rPr>
                <w:noProof/>
                <w:webHidden/>
              </w:rPr>
            </w:r>
            <w:r>
              <w:rPr>
                <w:noProof/>
                <w:webHidden/>
              </w:rPr>
              <w:fldChar w:fldCharType="separate"/>
            </w:r>
            <w:r w:rsidR="007529A3">
              <w:rPr>
                <w:noProof/>
                <w:webHidden/>
              </w:rPr>
              <w:t>8</w:t>
            </w:r>
            <w:r>
              <w:rPr>
                <w:noProof/>
                <w:webHidden/>
              </w:rPr>
              <w:fldChar w:fldCharType="end"/>
            </w:r>
          </w:hyperlink>
        </w:p>
        <w:p w:rsidR="007529A3" w:rsidRDefault="00AC65A7">
          <w:pPr>
            <w:pStyle w:val="21"/>
            <w:tabs>
              <w:tab w:val="left" w:pos="1100"/>
              <w:tab w:val="right" w:leader="dot" w:pos="9345"/>
            </w:tabs>
            <w:rPr>
              <w:rFonts w:asciiTheme="minorHAnsi" w:eastAsiaTheme="minorEastAsia" w:hAnsiTheme="minorHAnsi"/>
              <w:noProof/>
              <w:sz w:val="22"/>
              <w:lang w:eastAsia="ru-RU"/>
            </w:rPr>
          </w:pPr>
          <w:hyperlink w:anchor="_Toc215743400" w:history="1">
            <w:r w:rsidR="007529A3" w:rsidRPr="002F3DA3">
              <w:rPr>
                <w:rStyle w:val="ab"/>
                <w:rFonts w:cs="Times New Roman"/>
                <w:noProof/>
                <w:lang w:val="en-US"/>
              </w:rPr>
              <w:t>2.2.</w:t>
            </w:r>
            <w:r w:rsidR="007529A3">
              <w:rPr>
                <w:rFonts w:asciiTheme="minorHAnsi" w:eastAsiaTheme="minorEastAsia" w:hAnsiTheme="minorHAnsi"/>
                <w:noProof/>
                <w:sz w:val="22"/>
                <w:lang w:eastAsia="ru-RU"/>
              </w:rPr>
              <w:tab/>
            </w:r>
            <w:r w:rsidR="007529A3" w:rsidRPr="002F3DA3">
              <w:rPr>
                <w:rStyle w:val="ab"/>
                <w:rFonts w:cs="Times New Roman"/>
                <w:noProof/>
              </w:rPr>
              <w:t>Метод</w:t>
            </w:r>
            <w:r w:rsidR="007529A3" w:rsidRPr="002F3DA3">
              <w:rPr>
                <w:rStyle w:val="ab"/>
                <w:rFonts w:cs="Times New Roman"/>
                <w:noProof/>
                <w:lang w:val="en-US"/>
              </w:rPr>
              <w:t xml:space="preserve"> Extended Tight-Binding (xTB)</w:t>
            </w:r>
            <w:r w:rsidR="007529A3">
              <w:rPr>
                <w:noProof/>
                <w:webHidden/>
              </w:rPr>
              <w:tab/>
            </w:r>
            <w:r>
              <w:rPr>
                <w:noProof/>
                <w:webHidden/>
              </w:rPr>
              <w:fldChar w:fldCharType="begin"/>
            </w:r>
            <w:r w:rsidR="007529A3">
              <w:rPr>
                <w:noProof/>
                <w:webHidden/>
              </w:rPr>
              <w:instrText xml:space="preserve"> PAGEREF _Toc215743400 \h </w:instrText>
            </w:r>
            <w:r>
              <w:rPr>
                <w:noProof/>
                <w:webHidden/>
              </w:rPr>
            </w:r>
            <w:r>
              <w:rPr>
                <w:noProof/>
                <w:webHidden/>
              </w:rPr>
              <w:fldChar w:fldCharType="separate"/>
            </w:r>
            <w:r w:rsidR="007529A3">
              <w:rPr>
                <w:noProof/>
                <w:webHidden/>
              </w:rPr>
              <w:t>8</w:t>
            </w:r>
            <w:r>
              <w:rPr>
                <w:noProof/>
                <w:webHidden/>
              </w:rPr>
              <w:fldChar w:fldCharType="end"/>
            </w:r>
          </w:hyperlink>
        </w:p>
        <w:p w:rsidR="007529A3" w:rsidRDefault="00AC65A7">
          <w:pPr>
            <w:pStyle w:val="21"/>
            <w:tabs>
              <w:tab w:val="left" w:pos="1100"/>
              <w:tab w:val="right" w:leader="dot" w:pos="9345"/>
            </w:tabs>
            <w:rPr>
              <w:rFonts w:asciiTheme="minorHAnsi" w:eastAsiaTheme="minorEastAsia" w:hAnsiTheme="minorHAnsi"/>
              <w:noProof/>
              <w:sz w:val="22"/>
              <w:lang w:eastAsia="ru-RU"/>
            </w:rPr>
          </w:pPr>
          <w:hyperlink w:anchor="_Toc215743401" w:history="1">
            <w:r w:rsidR="007529A3" w:rsidRPr="002F3DA3">
              <w:rPr>
                <w:rStyle w:val="ab"/>
                <w:rFonts w:cs="Times New Roman"/>
                <w:noProof/>
              </w:rPr>
              <w:t>2.3.</w:t>
            </w:r>
            <w:r w:rsidR="007529A3">
              <w:rPr>
                <w:rFonts w:asciiTheme="minorHAnsi" w:eastAsiaTheme="minorEastAsia" w:hAnsiTheme="minorHAnsi"/>
                <w:noProof/>
                <w:sz w:val="22"/>
                <w:lang w:eastAsia="ru-RU"/>
              </w:rPr>
              <w:tab/>
            </w:r>
            <w:r w:rsidR="007529A3" w:rsidRPr="002F3DA3">
              <w:rPr>
                <w:rStyle w:val="ab"/>
                <w:rFonts w:cs="Times New Roman"/>
                <w:noProof/>
              </w:rPr>
              <w:t>CREST</w:t>
            </w:r>
            <w:r w:rsidR="007529A3">
              <w:rPr>
                <w:noProof/>
                <w:webHidden/>
              </w:rPr>
              <w:tab/>
            </w:r>
            <w:r>
              <w:rPr>
                <w:noProof/>
                <w:webHidden/>
              </w:rPr>
              <w:fldChar w:fldCharType="begin"/>
            </w:r>
            <w:r w:rsidR="007529A3">
              <w:rPr>
                <w:noProof/>
                <w:webHidden/>
              </w:rPr>
              <w:instrText xml:space="preserve"> PAGEREF _Toc215743401 \h </w:instrText>
            </w:r>
            <w:r>
              <w:rPr>
                <w:noProof/>
                <w:webHidden/>
              </w:rPr>
            </w:r>
            <w:r>
              <w:rPr>
                <w:noProof/>
                <w:webHidden/>
              </w:rPr>
              <w:fldChar w:fldCharType="separate"/>
            </w:r>
            <w:r w:rsidR="007529A3">
              <w:rPr>
                <w:noProof/>
                <w:webHidden/>
              </w:rPr>
              <w:t>9</w:t>
            </w:r>
            <w:r>
              <w:rPr>
                <w:noProof/>
                <w:webHidden/>
              </w:rPr>
              <w:fldChar w:fldCharType="end"/>
            </w:r>
          </w:hyperlink>
        </w:p>
        <w:p w:rsidR="007529A3" w:rsidRDefault="00AC65A7">
          <w:pPr>
            <w:pStyle w:val="21"/>
            <w:tabs>
              <w:tab w:val="left" w:pos="1100"/>
              <w:tab w:val="right" w:leader="dot" w:pos="9345"/>
            </w:tabs>
            <w:rPr>
              <w:rFonts w:asciiTheme="minorHAnsi" w:eastAsiaTheme="minorEastAsia" w:hAnsiTheme="minorHAnsi"/>
              <w:noProof/>
              <w:sz w:val="22"/>
              <w:lang w:eastAsia="ru-RU"/>
            </w:rPr>
          </w:pPr>
          <w:hyperlink w:anchor="_Toc215743402" w:history="1">
            <w:r w:rsidR="007529A3" w:rsidRPr="002F3DA3">
              <w:rPr>
                <w:rStyle w:val="ab"/>
                <w:rFonts w:cs="Times New Roman"/>
                <w:noProof/>
              </w:rPr>
              <w:t>2.4.</w:t>
            </w:r>
            <w:r w:rsidR="007529A3">
              <w:rPr>
                <w:rFonts w:asciiTheme="minorHAnsi" w:eastAsiaTheme="minorEastAsia" w:hAnsiTheme="minorHAnsi"/>
                <w:noProof/>
                <w:sz w:val="22"/>
                <w:lang w:eastAsia="ru-RU"/>
              </w:rPr>
              <w:tab/>
            </w:r>
            <w:r w:rsidR="007529A3" w:rsidRPr="002F3DA3">
              <w:rPr>
                <w:rStyle w:val="ab"/>
                <w:rFonts w:cs="Times New Roman"/>
                <w:noProof/>
              </w:rPr>
              <w:t>ORCA</w:t>
            </w:r>
            <w:r w:rsidR="007529A3">
              <w:rPr>
                <w:noProof/>
                <w:webHidden/>
              </w:rPr>
              <w:tab/>
            </w:r>
            <w:r>
              <w:rPr>
                <w:noProof/>
                <w:webHidden/>
              </w:rPr>
              <w:fldChar w:fldCharType="begin"/>
            </w:r>
            <w:r w:rsidR="007529A3">
              <w:rPr>
                <w:noProof/>
                <w:webHidden/>
              </w:rPr>
              <w:instrText xml:space="preserve"> PAGEREF _Toc215743402 \h </w:instrText>
            </w:r>
            <w:r>
              <w:rPr>
                <w:noProof/>
                <w:webHidden/>
              </w:rPr>
            </w:r>
            <w:r>
              <w:rPr>
                <w:noProof/>
                <w:webHidden/>
              </w:rPr>
              <w:fldChar w:fldCharType="separate"/>
            </w:r>
            <w:r w:rsidR="007529A3">
              <w:rPr>
                <w:noProof/>
                <w:webHidden/>
              </w:rPr>
              <w:t>10</w:t>
            </w:r>
            <w:r>
              <w:rPr>
                <w:noProof/>
                <w:webHidden/>
              </w:rPr>
              <w:fldChar w:fldCharType="end"/>
            </w:r>
          </w:hyperlink>
        </w:p>
        <w:p w:rsidR="007529A3" w:rsidRDefault="00AC65A7">
          <w:pPr>
            <w:pStyle w:val="21"/>
            <w:tabs>
              <w:tab w:val="left" w:pos="1100"/>
              <w:tab w:val="right" w:leader="dot" w:pos="9345"/>
            </w:tabs>
            <w:rPr>
              <w:rFonts w:asciiTheme="minorHAnsi" w:eastAsiaTheme="minorEastAsia" w:hAnsiTheme="minorHAnsi"/>
              <w:noProof/>
              <w:sz w:val="22"/>
              <w:lang w:eastAsia="ru-RU"/>
            </w:rPr>
          </w:pPr>
          <w:hyperlink w:anchor="_Toc215743403" w:history="1">
            <w:r w:rsidR="007529A3" w:rsidRPr="002F3DA3">
              <w:rPr>
                <w:rStyle w:val="ab"/>
                <w:rFonts w:cs="Times New Roman"/>
                <w:noProof/>
              </w:rPr>
              <w:t>2.5.</w:t>
            </w:r>
            <w:r w:rsidR="007529A3">
              <w:rPr>
                <w:rFonts w:asciiTheme="minorHAnsi" w:eastAsiaTheme="minorEastAsia" w:hAnsiTheme="minorHAnsi"/>
                <w:noProof/>
                <w:sz w:val="22"/>
                <w:lang w:eastAsia="ru-RU"/>
              </w:rPr>
              <w:tab/>
            </w:r>
            <w:r w:rsidR="007529A3" w:rsidRPr="002F3DA3">
              <w:rPr>
                <w:rStyle w:val="ab"/>
                <w:rFonts w:cs="Times New Roman"/>
                <w:noProof/>
              </w:rPr>
              <w:t>Quantum ESPRESSO</w:t>
            </w:r>
            <w:r w:rsidR="007529A3">
              <w:rPr>
                <w:noProof/>
                <w:webHidden/>
              </w:rPr>
              <w:tab/>
            </w:r>
            <w:r>
              <w:rPr>
                <w:noProof/>
                <w:webHidden/>
              </w:rPr>
              <w:fldChar w:fldCharType="begin"/>
            </w:r>
            <w:r w:rsidR="007529A3">
              <w:rPr>
                <w:noProof/>
                <w:webHidden/>
              </w:rPr>
              <w:instrText xml:space="preserve"> PAGEREF _Toc215743403 \h </w:instrText>
            </w:r>
            <w:r>
              <w:rPr>
                <w:noProof/>
                <w:webHidden/>
              </w:rPr>
            </w:r>
            <w:r>
              <w:rPr>
                <w:noProof/>
                <w:webHidden/>
              </w:rPr>
              <w:fldChar w:fldCharType="separate"/>
            </w:r>
            <w:r w:rsidR="007529A3">
              <w:rPr>
                <w:noProof/>
                <w:webHidden/>
              </w:rPr>
              <w:t>11</w:t>
            </w:r>
            <w:r>
              <w:rPr>
                <w:noProof/>
                <w:webHidden/>
              </w:rPr>
              <w:fldChar w:fldCharType="end"/>
            </w:r>
          </w:hyperlink>
        </w:p>
        <w:p w:rsidR="007529A3" w:rsidRDefault="00AC65A7">
          <w:pPr>
            <w:pStyle w:val="21"/>
            <w:tabs>
              <w:tab w:val="left" w:pos="1100"/>
              <w:tab w:val="right" w:leader="dot" w:pos="9345"/>
            </w:tabs>
            <w:rPr>
              <w:rFonts w:asciiTheme="minorHAnsi" w:eastAsiaTheme="minorEastAsia" w:hAnsiTheme="minorHAnsi"/>
              <w:noProof/>
              <w:sz w:val="22"/>
              <w:lang w:eastAsia="ru-RU"/>
            </w:rPr>
          </w:pPr>
          <w:hyperlink w:anchor="_Toc215743404" w:history="1">
            <w:r w:rsidR="007529A3" w:rsidRPr="002F3DA3">
              <w:rPr>
                <w:rStyle w:val="ab"/>
                <w:rFonts w:cs="Times New Roman"/>
                <w:noProof/>
              </w:rPr>
              <w:t>2.6.</w:t>
            </w:r>
            <w:r w:rsidR="007529A3">
              <w:rPr>
                <w:rFonts w:asciiTheme="minorHAnsi" w:eastAsiaTheme="minorEastAsia" w:hAnsiTheme="minorHAnsi"/>
                <w:noProof/>
                <w:sz w:val="22"/>
                <w:lang w:eastAsia="ru-RU"/>
              </w:rPr>
              <w:tab/>
            </w:r>
            <w:r w:rsidR="007529A3" w:rsidRPr="002F3DA3">
              <w:rPr>
                <w:rStyle w:val="ab"/>
                <w:rFonts w:cs="Times New Roman"/>
                <w:noProof/>
              </w:rPr>
              <w:t>Применения в дизайне малых лекарственных молекул</w:t>
            </w:r>
            <w:r w:rsidR="007529A3">
              <w:rPr>
                <w:noProof/>
                <w:webHidden/>
              </w:rPr>
              <w:tab/>
            </w:r>
            <w:r>
              <w:rPr>
                <w:noProof/>
                <w:webHidden/>
              </w:rPr>
              <w:fldChar w:fldCharType="begin"/>
            </w:r>
            <w:r w:rsidR="007529A3">
              <w:rPr>
                <w:noProof/>
                <w:webHidden/>
              </w:rPr>
              <w:instrText xml:space="preserve"> PAGEREF _Toc215743404 \h </w:instrText>
            </w:r>
            <w:r>
              <w:rPr>
                <w:noProof/>
                <w:webHidden/>
              </w:rPr>
            </w:r>
            <w:r>
              <w:rPr>
                <w:noProof/>
                <w:webHidden/>
              </w:rPr>
              <w:fldChar w:fldCharType="separate"/>
            </w:r>
            <w:r w:rsidR="007529A3">
              <w:rPr>
                <w:noProof/>
                <w:webHidden/>
              </w:rPr>
              <w:t>12</w:t>
            </w:r>
            <w:r>
              <w:rPr>
                <w:noProof/>
                <w:webHidden/>
              </w:rPr>
              <w:fldChar w:fldCharType="end"/>
            </w:r>
          </w:hyperlink>
        </w:p>
        <w:p w:rsidR="007529A3" w:rsidRDefault="00AC65A7">
          <w:pPr>
            <w:pStyle w:val="11"/>
            <w:tabs>
              <w:tab w:val="left" w:pos="560"/>
              <w:tab w:val="right" w:leader="dot" w:pos="9345"/>
            </w:tabs>
            <w:rPr>
              <w:rFonts w:asciiTheme="minorHAnsi" w:eastAsiaTheme="minorEastAsia" w:hAnsiTheme="minorHAnsi"/>
              <w:noProof/>
              <w:sz w:val="22"/>
              <w:lang w:eastAsia="ru-RU"/>
            </w:rPr>
          </w:pPr>
          <w:hyperlink w:anchor="_Toc215743405" w:history="1">
            <w:r w:rsidR="007529A3" w:rsidRPr="002F3DA3">
              <w:rPr>
                <w:rStyle w:val="ab"/>
                <w:rFonts w:cs="Times New Roman"/>
                <w:noProof/>
              </w:rPr>
              <w:t>3.</w:t>
            </w:r>
            <w:r w:rsidR="007529A3">
              <w:rPr>
                <w:rFonts w:asciiTheme="minorHAnsi" w:eastAsiaTheme="minorEastAsia" w:hAnsiTheme="minorHAnsi"/>
                <w:noProof/>
                <w:sz w:val="22"/>
                <w:lang w:eastAsia="ru-RU"/>
              </w:rPr>
              <w:tab/>
            </w:r>
            <w:r w:rsidR="007529A3" w:rsidRPr="002F3DA3">
              <w:rPr>
                <w:rStyle w:val="ab"/>
                <w:rFonts w:cs="Times New Roman"/>
                <w:noProof/>
              </w:rPr>
              <w:t>Объекты исследования</w:t>
            </w:r>
            <w:r w:rsidR="007529A3">
              <w:rPr>
                <w:noProof/>
                <w:webHidden/>
              </w:rPr>
              <w:tab/>
            </w:r>
            <w:r>
              <w:rPr>
                <w:noProof/>
                <w:webHidden/>
              </w:rPr>
              <w:fldChar w:fldCharType="begin"/>
            </w:r>
            <w:r w:rsidR="007529A3">
              <w:rPr>
                <w:noProof/>
                <w:webHidden/>
              </w:rPr>
              <w:instrText xml:space="preserve"> PAGEREF _Toc215743405 \h </w:instrText>
            </w:r>
            <w:r>
              <w:rPr>
                <w:noProof/>
                <w:webHidden/>
              </w:rPr>
            </w:r>
            <w:r>
              <w:rPr>
                <w:noProof/>
                <w:webHidden/>
              </w:rPr>
              <w:fldChar w:fldCharType="separate"/>
            </w:r>
            <w:r w:rsidR="007529A3">
              <w:rPr>
                <w:noProof/>
                <w:webHidden/>
              </w:rPr>
              <w:t>13</w:t>
            </w:r>
            <w:r>
              <w:rPr>
                <w:noProof/>
                <w:webHidden/>
              </w:rPr>
              <w:fldChar w:fldCharType="end"/>
            </w:r>
          </w:hyperlink>
        </w:p>
        <w:p w:rsidR="007529A3" w:rsidRDefault="00AC65A7">
          <w:pPr>
            <w:pStyle w:val="11"/>
            <w:tabs>
              <w:tab w:val="left" w:pos="560"/>
              <w:tab w:val="right" w:leader="dot" w:pos="9345"/>
            </w:tabs>
            <w:rPr>
              <w:rFonts w:asciiTheme="minorHAnsi" w:eastAsiaTheme="minorEastAsia" w:hAnsiTheme="minorHAnsi"/>
              <w:noProof/>
              <w:sz w:val="22"/>
              <w:lang w:eastAsia="ru-RU"/>
            </w:rPr>
          </w:pPr>
          <w:hyperlink w:anchor="_Toc215743406" w:history="1">
            <w:r w:rsidR="007529A3" w:rsidRPr="002F3DA3">
              <w:rPr>
                <w:rStyle w:val="ab"/>
                <w:rFonts w:cs="Times New Roman"/>
                <w:noProof/>
              </w:rPr>
              <w:t>4.</w:t>
            </w:r>
            <w:r w:rsidR="007529A3">
              <w:rPr>
                <w:rFonts w:asciiTheme="minorHAnsi" w:eastAsiaTheme="minorEastAsia" w:hAnsiTheme="minorHAnsi"/>
                <w:noProof/>
                <w:sz w:val="22"/>
                <w:lang w:eastAsia="ru-RU"/>
              </w:rPr>
              <w:tab/>
            </w:r>
            <w:r w:rsidR="007529A3" w:rsidRPr="002F3DA3">
              <w:rPr>
                <w:rStyle w:val="ab"/>
                <w:rFonts w:cs="Times New Roman"/>
                <w:noProof/>
              </w:rPr>
              <w:t>Результаты</w:t>
            </w:r>
            <w:r w:rsidR="007529A3">
              <w:rPr>
                <w:noProof/>
                <w:webHidden/>
              </w:rPr>
              <w:tab/>
            </w:r>
            <w:r>
              <w:rPr>
                <w:noProof/>
                <w:webHidden/>
              </w:rPr>
              <w:fldChar w:fldCharType="begin"/>
            </w:r>
            <w:r w:rsidR="007529A3">
              <w:rPr>
                <w:noProof/>
                <w:webHidden/>
              </w:rPr>
              <w:instrText xml:space="preserve"> PAGEREF _Toc215743406 \h </w:instrText>
            </w:r>
            <w:r>
              <w:rPr>
                <w:noProof/>
                <w:webHidden/>
              </w:rPr>
            </w:r>
            <w:r>
              <w:rPr>
                <w:noProof/>
                <w:webHidden/>
              </w:rPr>
              <w:fldChar w:fldCharType="separate"/>
            </w:r>
            <w:r w:rsidR="007529A3">
              <w:rPr>
                <w:noProof/>
                <w:webHidden/>
              </w:rPr>
              <w:t>14</w:t>
            </w:r>
            <w:r>
              <w:rPr>
                <w:noProof/>
                <w:webHidden/>
              </w:rPr>
              <w:fldChar w:fldCharType="end"/>
            </w:r>
          </w:hyperlink>
        </w:p>
        <w:p w:rsidR="007529A3" w:rsidRDefault="00AC65A7">
          <w:pPr>
            <w:pStyle w:val="21"/>
            <w:tabs>
              <w:tab w:val="right" w:leader="dot" w:pos="9345"/>
            </w:tabs>
            <w:rPr>
              <w:rFonts w:asciiTheme="minorHAnsi" w:eastAsiaTheme="minorEastAsia" w:hAnsiTheme="minorHAnsi"/>
              <w:noProof/>
              <w:sz w:val="22"/>
              <w:lang w:eastAsia="ru-RU"/>
            </w:rPr>
          </w:pPr>
          <w:hyperlink w:anchor="_Toc215743407" w:history="1">
            <w:r w:rsidR="007529A3" w:rsidRPr="002F3DA3">
              <w:rPr>
                <w:rStyle w:val="ab"/>
                <w:rFonts w:cs="Times New Roman"/>
                <w:noProof/>
              </w:rPr>
              <w:t>4.1. Конформационный анализ с использованием CREST</w:t>
            </w:r>
            <w:r w:rsidR="007529A3">
              <w:rPr>
                <w:noProof/>
                <w:webHidden/>
              </w:rPr>
              <w:tab/>
            </w:r>
            <w:r>
              <w:rPr>
                <w:noProof/>
                <w:webHidden/>
              </w:rPr>
              <w:fldChar w:fldCharType="begin"/>
            </w:r>
            <w:r w:rsidR="007529A3">
              <w:rPr>
                <w:noProof/>
                <w:webHidden/>
              </w:rPr>
              <w:instrText xml:space="preserve"> PAGEREF _Toc215743407 \h </w:instrText>
            </w:r>
            <w:r>
              <w:rPr>
                <w:noProof/>
                <w:webHidden/>
              </w:rPr>
            </w:r>
            <w:r>
              <w:rPr>
                <w:noProof/>
                <w:webHidden/>
              </w:rPr>
              <w:fldChar w:fldCharType="separate"/>
            </w:r>
            <w:r w:rsidR="007529A3">
              <w:rPr>
                <w:noProof/>
                <w:webHidden/>
              </w:rPr>
              <w:t>14</w:t>
            </w:r>
            <w:r>
              <w:rPr>
                <w:noProof/>
                <w:webHidden/>
              </w:rPr>
              <w:fldChar w:fldCharType="end"/>
            </w:r>
          </w:hyperlink>
        </w:p>
        <w:p w:rsidR="007529A3" w:rsidRDefault="00AC65A7">
          <w:pPr>
            <w:pStyle w:val="21"/>
            <w:tabs>
              <w:tab w:val="right" w:leader="dot" w:pos="9345"/>
            </w:tabs>
            <w:rPr>
              <w:rFonts w:asciiTheme="minorHAnsi" w:eastAsiaTheme="minorEastAsia" w:hAnsiTheme="minorHAnsi"/>
              <w:noProof/>
              <w:sz w:val="22"/>
              <w:lang w:eastAsia="ru-RU"/>
            </w:rPr>
          </w:pPr>
          <w:hyperlink w:anchor="_Toc215743408" w:history="1">
            <w:r w:rsidR="007529A3" w:rsidRPr="002F3DA3">
              <w:rPr>
                <w:rStyle w:val="ab"/>
                <w:rFonts w:cs="Times New Roman"/>
                <w:noProof/>
              </w:rPr>
              <w:t>4.2. Квантово-химические расчеты с использованием ORCA</w:t>
            </w:r>
            <w:r w:rsidR="007529A3">
              <w:rPr>
                <w:noProof/>
                <w:webHidden/>
              </w:rPr>
              <w:tab/>
            </w:r>
            <w:r>
              <w:rPr>
                <w:noProof/>
                <w:webHidden/>
              </w:rPr>
              <w:fldChar w:fldCharType="begin"/>
            </w:r>
            <w:r w:rsidR="007529A3">
              <w:rPr>
                <w:noProof/>
                <w:webHidden/>
              </w:rPr>
              <w:instrText xml:space="preserve"> PAGEREF _Toc215743408 \h </w:instrText>
            </w:r>
            <w:r>
              <w:rPr>
                <w:noProof/>
                <w:webHidden/>
              </w:rPr>
            </w:r>
            <w:r>
              <w:rPr>
                <w:noProof/>
                <w:webHidden/>
              </w:rPr>
              <w:fldChar w:fldCharType="separate"/>
            </w:r>
            <w:r w:rsidR="007529A3">
              <w:rPr>
                <w:noProof/>
                <w:webHidden/>
              </w:rPr>
              <w:t>22</w:t>
            </w:r>
            <w:r>
              <w:rPr>
                <w:noProof/>
                <w:webHidden/>
              </w:rPr>
              <w:fldChar w:fldCharType="end"/>
            </w:r>
          </w:hyperlink>
        </w:p>
        <w:p w:rsidR="007529A3" w:rsidRDefault="00AC65A7">
          <w:pPr>
            <w:pStyle w:val="11"/>
            <w:tabs>
              <w:tab w:val="right" w:leader="dot" w:pos="9345"/>
            </w:tabs>
            <w:rPr>
              <w:rFonts w:asciiTheme="minorHAnsi" w:eastAsiaTheme="minorEastAsia" w:hAnsiTheme="minorHAnsi"/>
              <w:noProof/>
              <w:sz w:val="22"/>
              <w:lang w:eastAsia="ru-RU"/>
            </w:rPr>
          </w:pPr>
          <w:hyperlink w:anchor="_Toc215743409" w:history="1">
            <w:r w:rsidR="007529A3" w:rsidRPr="002F3DA3">
              <w:rPr>
                <w:rStyle w:val="ab"/>
                <w:rFonts w:cs="Times New Roman"/>
                <w:noProof/>
              </w:rPr>
              <w:t>ЗАКЛЮЧЕНИЕ</w:t>
            </w:r>
            <w:r w:rsidR="007529A3">
              <w:rPr>
                <w:noProof/>
                <w:webHidden/>
              </w:rPr>
              <w:tab/>
            </w:r>
            <w:r>
              <w:rPr>
                <w:noProof/>
                <w:webHidden/>
              </w:rPr>
              <w:fldChar w:fldCharType="begin"/>
            </w:r>
            <w:r w:rsidR="007529A3">
              <w:rPr>
                <w:noProof/>
                <w:webHidden/>
              </w:rPr>
              <w:instrText xml:space="preserve"> PAGEREF _Toc215743409 \h </w:instrText>
            </w:r>
            <w:r>
              <w:rPr>
                <w:noProof/>
                <w:webHidden/>
              </w:rPr>
            </w:r>
            <w:r>
              <w:rPr>
                <w:noProof/>
                <w:webHidden/>
              </w:rPr>
              <w:fldChar w:fldCharType="separate"/>
            </w:r>
            <w:r w:rsidR="007529A3">
              <w:rPr>
                <w:noProof/>
                <w:webHidden/>
              </w:rPr>
              <w:t>27</w:t>
            </w:r>
            <w:r>
              <w:rPr>
                <w:noProof/>
                <w:webHidden/>
              </w:rPr>
              <w:fldChar w:fldCharType="end"/>
            </w:r>
          </w:hyperlink>
        </w:p>
        <w:p w:rsidR="007529A3" w:rsidRDefault="00AC65A7">
          <w:pPr>
            <w:pStyle w:val="11"/>
            <w:tabs>
              <w:tab w:val="right" w:leader="dot" w:pos="9345"/>
            </w:tabs>
            <w:rPr>
              <w:rFonts w:asciiTheme="minorHAnsi" w:eastAsiaTheme="minorEastAsia" w:hAnsiTheme="minorHAnsi"/>
              <w:noProof/>
              <w:sz w:val="22"/>
              <w:lang w:eastAsia="ru-RU"/>
            </w:rPr>
          </w:pPr>
          <w:hyperlink w:anchor="_Toc215743410" w:history="1">
            <w:r w:rsidR="007529A3" w:rsidRPr="002F3DA3">
              <w:rPr>
                <w:rStyle w:val="ab"/>
                <w:rFonts w:cs="Times New Roman"/>
                <w:noProof/>
              </w:rPr>
              <w:t>СПИСОК ИСПОЛЬЗОВАННЫХ ИСТОЧНИКОВ</w:t>
            </w:r>
            <w:r w:rsidR="007529A3">
              <w:rPr>
                <w:noProof/>
                <w:webHidden/>
              </w:rPr>
              <w:tab/>
            </w:r>
            <w:r>
              <w:rPr>
                <w:noProof/>
                <w:webHidden/>
              </w:rPr>
              <w:fldChar w:fldCharType="begin"/>
            </w:r>
            <w:r w:rsidR="007529A3">
              <w:rPr>
                <w:noProof/>
                <w:webHidden/>
              </w:rPr>
              <w:instrText xml:space="preserve"> PAGEREF _Toc215743410 \h </w:instrText>
            </w:r>
            <w:r>
              <w:rPr>
                <w:noProof/>
                <w:webHidden/>
              </w:rPr>
            </w:r>
            <w:r>
              <w:rPr>
                <w:noProof/>
                <w:webHidden/>
              </w:rPr>
              <w:fldChar w:fldCharType="separate"/>
            </w:r>
            <w:r w:rsidR="007529A3">
              <w:rPr>
                <w:noProof/>
                <w:webHidden/>
              </w:rPr>
              <w:t>29</w:t>
            </w:r>
            <w:r>
              <w:rPr>
                <w:noProof/>
                <w:webHidden/>
              </w:rPr>
              <w:fldChar w:fldCharType="end"/>
            </w:r>
          </w:hyperlink>
        </w:p>
        <w:p w:rsidR="004025E3" w:rsidRDefault="00AC65A7">
          <w:r>
            <w:fldChar w:fldCharType="end"/>
          </w:r>
        </w:p>
      </w:sdtContent>
    </w:sdt>
    <w:p w:rsidR="004025E3" w:rsidRDefault="004025E3">
      <w:pPr>
        <w:spacing w:line="259" w:lineRule="auto"/>
        <w:rPr>
          <w:b/>
        </w:rPr>
      </w:pPr>
      <w:r>
        <w:rPr>
          <w:b/>
        </w:rPr>
        <w:br w:type="page"/>
      </w:r>
    </w:p>
    <w:p w:rsidR="004025E3" w:rsidRPr="004025E3" w:rsidRDefault="004025E3" w:rsidP="004025E3">
      <w:pPr>
        <w:pStyle w:val="1"/>
        <w:spacing w:before="0" w:line="360" w:lineRule="auto"/>
        <w:jc w:val="center"/>
        <w:rPr>
          <w:rFonts w:ascii="Times New Roman" w:hAnsi="Times New Roman" w:cs="Times New Roman"/>
          <w:b w:val="0"/>
          <w:color w:val="000000" w:themeColor="text1"/>
        </w:rPr>
      </w:pPr>
      <w:bookmarkStart w:id="1" w:name="_Toc215743395"/>
      <w:r w:rsidRPr="004025E3">
        <w:rPr>
          <w:rFonts w:ascii="Times New Roman" w:hAnsi="Times New Roman" w:cs="Times New Roman"/>
          <w:b w:val="0"/>
          <w:color w:val="000000" w:themeColor="text1"/>
        </w:rPr>
        <w:lastRenderedPageBreak/>
        <w:t>АННОТАЦИЯ</w:t>
      </w:r>
      <w:bookmarkEnd w:id="1"/>
    </w:p>
    <w:p w:rsidR="00C95A83" w:rsidRPr="00C95A83" w:rsidRDefault="00C95A83" w:rsidP="00C95A83">
      <w:pPr>
        <w:spacing w:after="0" w:line="360" w:lineRule="auto"/>
        <w:ind w:firstLine="709"/>
        <w:jc w:val="both"/>
        <w:rPr>
          <w:lang w:val="en-US"/>
        </w:rPr>
      </w:pPr>
      <w:r w:rsidRPr="00C95A83">
        <w:rPr>
          <w:lang w:val="en-US"/>
        </w:rPr>
        <w:t>A computational study of the conformational and spectral characteristics of the sumatriptan molecule and its protonated form was performed within the INTEREST program. Conformational analysis performed using CREST (GFN2-xTB) yielded extensive sets of geometries for both forms. Significantly more low-energy structures were found for neutral sumatriptan than for the protonated form, reflecting the difference in potential energy and requiring separate analysis. Automatic clustering (K-means, PCA) did not yield a clear division into conformational families: although three groups are visually discernible, their correctness requires further verification, especially for the protonated form, where the number of data points is limited.</w:t>
      </w:r>
    </w:p>
    <w:p w:rsidR="00C95A83" w:rsidRPr="00C95A83" w:rsidRDefault="00C95A83" w:rsidP="00C95A83">
      <w:pPr>
        <w:spacing w:after="0" w:line="360" w:lineRule="auto"/>
        <w:ind w:firstLine="709"/>
        <w:jc w:val="both"/>
      </w:pPr>
      <w:r w:rsidRPr="00C95A83">
        <w:rPr>
          <w:lang w:val="en-US"/>
        </w:rPr>
        <w:t>Quantum-chemical calculations in ORCA at the PBE0/def2-TZVP and B3LYP/def2-TZVP levels were used to optimize the geometry and obtain theoretical Raman spectra. Comparison with experimental data was performed qualitatively; quantitative assessment of the spectral agreement is the task of the next stage. The obtained results demonstrate differences in the structure and spectral features of the neutral and protonated forms, which is important for further study of their properties.</w:t>
      </w:r>
    </w:p>
    <w:p w:rsidR="004025E3" w:rsidRPr="00C95A83" w:rsidRDefault="004025E3" w:rsidP="00C95A83">
      <w:pPr>
        <w:spacing w:line="259" w:lineRule="auto"/>
        <w:rPr>
          <w:b/>
          <w:lang w:val="en-US"/>
        </w:rPr>
      </w:pPr>
      <w:r w:rsidRPr="00C95A83">
        <w:rPr>
          <w:b/>
          <w:lang w:val="en-US"/>
        </w:rPr>
        <w:br w:type="page"/>
      </w:r>
    </w:p>
    <w:p w:rsidR="001C5646" w:rsidRDefault="004025E3" w:rsidP="004025E3">
      <w:pPr>
        <w:pStyle w:val="1"/>
        <w:spacing w:before="0" w:line="360" w:lineRule="auto"/>
        <w:jc w:val="center"/>
        <w:rPr>
          <w:rFonts w:ascii="Times New Roman" w:hAnsi="Times New Roman" w:cs="Times New Roman"/>
          <w:b w:val="0"/>
          <w:color w:val="000000" w:themeColor="text1"/>
        </w:rPr>
      </w:pPr>
      <w:bookmarkStart w:id="2" w:name="_Toc215743396"/>
      <w:r w:rsidRPr="004025E3">
        <w:rPr>
          <w:rFonts w:ascii="Times New Roman" w:hAnsi="Times New Roman" w:cs="Times New Roman"/>
          <w:b w:val="0"/>
          <w:color w:val="000000" w:themeColor="text1"/>
        </w:rPr>
        <w:lastRenderedPageBreak/>
        <w:t>ВВЕДЕНИЕ</w:t>
      </w:r>
      <w:bookmarkEnd w:id="2"/>
    </w:p>
    <w:p w:rsidR="005A6EB9" w:rsidRPr="005A6EB9" w:rsidRDefault="005A6EB9" w:rsidP="00F756E7">
      <w:pPr>
        <w:pStyle w:val="ds-markdown-paragraph"/>
        <w:shd w:val="clear" w:color="auto" w:fill="FFFFFF"/>
        <w:spacing w:before="0" w:beforeAutospacing="0" w:after="0" w:afterAutospacing="0" w:line="360" w:lineRule="auto"/>
        <w:ind w:firstLine="709"/>
        <w:jc w:val="both"/>
        <w:rPr>
          <w:sz w:val="28"/>
          <w:szCs w:val="28"/>
        </w:rPr>
      </w:pPr>
      <w:r w:rsidRPr="005A6EB9">
        <w:rPr>
          <w:sz w:val="28"/>
          <w:szCs w:val="28"/>
        </w:rPr>
        <w:t>Вычислительная химия является одним из ключевых инструментов современного молекулярного дизайна, позволяя моделировать структуру, свойства и взаимодействия биологически активных соединений на атомарном уровне. Особую роль она играет в разработке лекарственных препаратов, где точное предсказание конформаций, энергий связывания и спектроскопических характеристик молекул может значительно сократить время и ресурсы, затрачиваемые на экспериментальные исследования. В качестве объекта исследования часто выбираются малые гибки</w:t>
      </w:r>
      <w:r w:rsidR="00F756E7">
        <w:rPr>
          <w:sz w:val="28"/>
          <w:szCs w:val="28"/>
        </w:rPr>
        <w:t>е молекулы, такие как триптаны –</w:t>
      </w:r>
      <w:r w:rsidRPr="005A6EB9">
        <w:rPr>
          <w:sz w:val="28"/>
          <w:szCs w:val="28"/>
        </w:rPr>
        <w:t xml:space="preserve"> класс соединений, используемых для лечения мигрени. Их биологическая активность напрямую зависит от способности принимать специфические пространственные формы (конформеры), оптимальные для взаимодействия с белковыми мишенями.</w:t>
      </w:r>
    </w:p>
    <w:p w:rsidR="005A6EB9" w:rsidRPr="005A6EB9" w:rsidRDefault="005A6EB9" w:rsidP="00F756E7">
      <w:pPr>
        <w:pStyle w:val="ds-markdown-paragraph"/>
        <w:shd w:val="clear" w:color="auto" w:fill="FFFFFF"/>
        <w:spacing w:before="0" w:beforeAutospacing="0" w:after="0" w:afterAutospacing="0" w:line="360" w:lineRule="auto"/>
        <w:ind w:firstLine="709"/>
        <w:jc w:val="both"/>
        <w:rPr>
          <w:sz w:val="28"/>
          <w:szCs w:val="28"/>
        </w:rPr>
      </w:pPr>
      <w:r w:rsidRPr="005A6EB9">
        <w:rPr>
          <w:sz w:val="28"/>
          <w:szCs w:val="28"/>
        </w:rPr>
        <w:t xml:space="preserve">Одной из наиболее сложных задач в моделировании таких систем </w:t>
      </w:r>
      <w:r w:rsidR="00F756E7">
        <w:rPr>
          <w:sz w:val="28"/>
          <w:szCs w:val="28"/>
        </w:rPr>
        <w:t>является конформационный поиск –</w:t>
      </w:r>
      <w:r w:rsidRPr="005A6EB9">
        <w:rPr>
          <w:sz w:val="28"/>
          <w:szCs w:val="28"/>
        </w:rPr>
        <w:t xml:space="preserve"> процесс идентификации всех возможных устойчивых пространственных форм молекулы, доступных в заданных условиях. Без тщательного конформационного анализа последующие расчеты (например, докинг или оценка энергии связывания) могут быть проведены для нерелевантных структур, что приведет к ошибочным прогнозам. Для решения этой задачи используются как быстрые полуэмпирические методы (например, xTB), так и более точные методы теории функционала плотности (DFT), которые обеспечивают надежное описание электронной структуры и спектроскопических свойств.</w:t>
      </w:r>
    </w:p>
    <w:p w:rsidR="005A6EB9" w:rsidRDefault="005A6EB9" w:rsidP="005A6EB9">
      <w:pPr>
        <w:pStyle w:val="ds-markdown-paragraph"/>
        <w:shd w:val="clear" w:color="auto" w:fill="FFFFFF"/>
        <w:spacing w:before="0" w:beforeAutospacing="0" w:after="0" w:afterAutospacing="0" w:line="360" w:lineRule="auto"/>
        <w:ind w:firstLine="709"/>
        <w:jc w:val="both"/>
        <w:rPr>
          <w:sz w:val="28"/>
          <w:szCs w:val="28"/>
        </w:rPr>
      </w:pPr>
      <w:r w:rsidRPr="005A6EB9">
        <w:rPr>
          <w:sz w:val="28"/>
          <w:szCs w:val="28"/>
        </w:rPr>
        <w:t xml:space="preserve">В данной работе в качестве модельного объекта выбран суматриптан </w:t>
      </w:r>
      <w:r w:rsidR="00F756E7">
        <w:rPr>
          <w:sz w:val="28"/>
          <w:szCs w:val="28"/>
        </w:rPr>
        <w:t>–</w:t>
      </w:r>
      <w:r w:rsidRPr="005A6EB9">
        <w:rPr>
          <w:sz w:val="28"/>
          <w:szCs w:val="28"/>
        </w:rPr>
        <w:t xml:space="preserve"> представитель класса триптанов, а также его протонированная форма, являющаяся физиологически активной. Исследование направлено на комплексное изучение конформационных и спектроскопических свойств этой молекулы с использованием современных вычислительных инструментов: CREST для конформационного поиска, ORCA для </w:t>
      </w:r>
      <w:r w:rsidRPr="005A6EB9">
        <w:rPr>
          <w:sz w:val="28"/>
          <w:szCs w:val="28"/>
        </w:rPr>
        <w:lastRenderedPageBreak/>
        <w:t>оптимизации геометрии и расчета колебательных спектров, а также методов машинного обучения для анализа полученных данных.</w:t>
      </w:r>
    </w:p>
    <w:p w:rsidR="005A6EB9" w:rsidRDefault="0095047C" w:rsidP="001C5646">
      <w:pPr>
        <w:pStyle w:val="ds-markdown-paragraph"/>
        <w:shd w:val="clear" w:color="auto" w:fill="FFFFFF"/>
        <w:spacing w:before="0" w:beforeAutospacing="0" w:after="0" w:afterAutospacing="0" w:line="360" w:lineRule="auto"/>
        <w:ind w:firstLine="709"/>
        <w:jc w:val="both"/>
        <w:rPr>
          <w:sz w:val="28"/>
          <w:szCs w:val="28"/>
        </w:rPr>
      </w:pPr>
      <w:r>
        <w:rPr>
          <w:sz w:val="28"/>
          <w:szCs w:val="28"/>
        </w:rPr>
        <w:t>Цель:</w:t>
      </w:r>
      <w:r w:rsidR="0071026A">
        <w:rPr>
          <w:sz w:val="28"/>
          <w:szCs w:val="28"/>
        </w:rPr>
        <w:t xml:space="preserve"> </w:t>
      </w:r>
      <w:r w:rsidR="005A6EB9" w:rsidRPr="005A6EB9">
        <w:rPr>
          <w:sz w:val="28"/>
          <w:szCs w:val="28"/>
        </w:rPr>
        <w:t>Приобретение практических навыков применения современных методов вычислительной химии для исследования конформационных и спектроскопических свойств малых лекарственных молекул на примере суматриптана.</w:t>
      </w:r>
    </w:p>
    <w:p w:rsidR="001C5646" w:rsidRDefault="0095047C" w:rsidP="001C5646">
      <w:pPr>
        <w:pStyle w:val="ds-markdown-paragraph"/>
        <w:shd w:val="clear" w:color="auto" w:fill="FFFFFF"/>
        <w:spacing w:before="0" w:beforeAutospacing="0" w:after="0" w:afterAutospacing="0" w:line="360" w:lineRule="auto"/>
        <w:ind w:firstLine="709"/>
        <w:jc w:val="both"/>
        <w:rPr>
          <w:sz w:val="28"/>
          <w:szCs w:val="28"/>
        </w:rPr>
      </w:pPr>
      <w:r>
        <w:rPr>
          <w:sz w:val="28"/>
          <w:szCs w:val="28"/>
        </w:rPr>
        <w:t>Для достижения поставленной цели были решены следующие з</w:t>
      </w:r>
      <w:r w:rsidR="009154E3">
        <w:rPr>
          <w:sz w:val="28"/>
          <w:szCs w:val="28"/>
        </w:rPr>
        <w:t>адачи:</w:t>
      </w:r>
    </w:p>
    <w:p w:rsidR="005A6EB9" w:rsidRPr="005A6EB9" w:rsidRDefault="005A6EB9" w:rsidP="005A6EB9">
      <w:pPr>
        <w:pStyle w:val="a3"/>
        <w:numPr>
          <w:ilvl w:val="0"/>
          <w:numId w:val="15"/>
        </w:numPr>
        <w:spacing w:after="0" w:line="360" w:lineRule="auto"/>
        <w:jc w:val="both"/>
        <w:rPr>
          <w:rFonts w:eastAsia="Times New Roman" w:cs="Times New Roman"/>
          <w:szCs w:val="28"/>
          <w:lang w:eastAsia="ru-RU"/>
        </w:rPr>
      </w:pPr>
      <w:r w:rsidRPr="005A6EB9">
        <w:rPr>
          <w:rFonts w:eastAsia="Times New Roman" w:cs="Times New Roman"/>
          <w:szCs w:val="28"/>
          <w:lang w:eastAsia="ru-RU"/>
        </w:rPr>
        <w:t>Провести конформационный поиск для нейтральной и протонированной форм суматриптана с использованием программы CREST (на основе метода GFN2-xTB).</w:t>
      </w:r>
    </w:p>
    <w:p w:rsidR="005A6EB9" w:rsidRPr="005A6EB9" w:rsidRDefault="005A6EB9" w:rsidP="005A6EB9">
      <w:pPr>
        <w:pStyle w:val="a3"/>
        <w:numPr>
          <w:ilvl w:val="0"/>
          <w:numId w:val="15"/>
        </w:numPr>
        <w:spacing w:after="0" w:line="360" w:lineRule="auto"/>
        <w:jc w:val="both"/>
        <w:rPr>
          <w:rFonts w:eastAsia="Times New Roman" w:cs="Times New Roman"/>
          <w:szCs w:val="28"/>
          <w:lang w:eastAsia="ru-RU"/>
        </w:rPr>
      </w:pPr>
      <w:r w:rsidRPr="005A6EB9">
        <w:rPr>
          <w:rFonts w:eastAsia="Times New Roman" w:cs="Times New Roman"/>
          <w:szCs w:val="28"/>
          <w:lang w:eastAsia="ru-RU"/>
        </w:rPr>
        <w:t>Выполнить автоматическую кластеризацию полученных конформеров с использованием алгоритма K-means и методов снижения размерности (PCA) для выявления основных конформационных семейств.</w:t>
      </w:r>
    </w:p>
    <w:p w:rsidR="005A6EB9" w:rsidRPr="005A6EB9" w:rsidRDefault="005A6EB9" w:rsidP="005A6EB9">
      <w:pPr>
        <w:pStyle w:val="a3"/>
        <w:numPr>
          <w:ilvl w:val="0"/>
          <w:numId w:val="15"/>
        </w:numPr>
        <w:spacing w:after="0" w:line="360" w:lineRule="auto"/>
        <w:jc w:val="both"/>
        <w:rPr>
          <w:rFonts w:eastAsia="Times New Roman" w:cs="Times New Roman"/>
          <w:szCs w:val="28"/>
          <w:lang w:eastAsia="ru-RU"/>
        </w:rPr>
      </w:pPr>
      <w:r w:rsidRPr="005A6EB9">
        <w:rPr>
          <w:rFonts w:eastAsia="Times New Roman" w:cs="Times New Roman"/>
          <w:szCs w:val="28"/>
          <w:lang w:eastAsia="ru-RU"/>
        </w:rPr>
        <w:t>Провести оптимизацию геометрии наиболее стабильных конформеров с помощью квантово-химического пакета ORCA на уровнях теории DFT (PBE0/def2-TZVP и B3LYP/def2-TZVP).</w:t>
      </w:r>
    </w:p>
    <w:p w:rsidR="00F756E7" w:rsidRPr="00F756E7" w:rsidRDefault="005A6EB9" w:rsidP="005A6EB9">
      <w:pPr>
        <w:pStyle w:val="a3"/>
        <w:numPr>
          <w:ilvl w:val="0"/>
          <w:numId w:val="15"/>
        </w:numPr>
        <w:spacing w:after="0" w:line="360" w:lineRule="auto"/>
        <w:jc w:val="both"/>
        <w:rPr>
          <w:rFonts w:eastAsiaTheme="majorEastAsia" w:cs="Times New Roman"/>
          <w:b/>
          <w:bCs/>
          <w:color w:val="000000" w:themeColor="text1"/>
          <w:szCs w:val="28"/>
        </w:rPr>
      </w:pPr>
      <w:r w:rsidRPr="005A6EB9">
        <w:rPr>
          <w:rFonts w:eastAsia="Times New Roman" w:cs="Times New Roman"/>
          <w:szCs w:val="28"/>
          <w:lang w:eastAsia="ru-RU"/>
        </w:rPr>
        <w:t>Рассчитать теоретические рамановские спектры для оптимизированных структур и провести их сравнение с экспериментальными данными.</w:t>
      </w:r>
    </w:p>
    <w:p w:rsidR="00890768" w:rsidRPr="005A6EB9" w:rsidRDefault="00890768" w:rsidP="005A6EB9">
      <w:pPr>
        <w:pStyle w:val="a3"/>
        <w:numPr>
          <w:ilvl w:val="0"/>
          <w:numId w:val="15"/>
        </w:numPr>
        <w:spacing w:after="0" w:line="360" w:lineRule="auto"/>
        <w:jc w:val="both"/>
        <w:rPr>
          <w:rFonts w:eastAsiaTheme="majorEastAsia" w:cs="Times New Roman"/>
          <w:b/>
          <w:bCs/>
          <w:color w:val="000000" w:themeColor="text1"/>
          <w:szCs w:val="28"/>
        </w:rPr>
      </w:pPr>
      <w:r w:rsidRPr="005A6EB9">
        <w:rPr>
          <w:rFonts w:cs="Times New Roman"/>
          <w:color w:val="000000" w:themeColor="text1"/>
        </w:rPr>
        <w:br w:type="page"/>
      </w:r>
    </w:p>
    <w:p w:rsidR="00890768" w:rsidRDefault="00890768" w:rsidP="002A04AC">
      <w:pPr>
        <w:pStyle w:val="1"/>
        <w:numPr>
          <w:ilvl w:val="0"/>
          <w:numId w:val="6"/>
        </w:numPr>
        <w:spacing w:before="0" w:line="360" w:lineRule="auto"/>
        <w:ind w:left="0" w:firstLine="0"/>
        <w:jc w:val="both"/>
        <w:rPr>
          <w:rFonts w:ascii="Times New Roman" w:hAnsi="Times New Roman" w:cs="Times New Roman"/>
          <w:color w:val="000000" w:themeColor="text1"/>
          <w:lang w:val="en-US"/>
        </w:rPr>
      </w:pPr>
      <w:bookmarkStart w:id="3" w:name="_Toc215743397"/>
      <w:r>
        <w:rPr>
          <w:rFonts w:ascii="Times New Roman" w:hAnsi="Times New Roman" w:cs="Times New Roman"/>
          <w:color w:val="000000" w:themeColor="text1"/>
        </w:rPr>
        <w:lastRenderedPageBreak/>
        <w:t xml:space="preserve">Теоретические основы </w:t>
      </w:r>
      <w:r>
        <w:rPr>
          <w:rFonts w:ascii="Times New Roman" w:hAnsi="Times New Roman" w:cs="Times New Roman"/>
          <w:color w:val="000000" w:themeColor="text1"/>
          <w:lang w:val="en-US"/>
        </w:rPr>
        <w:t>DFT</w:t>
      </w:r>
      <w:bookmarkEnd w:id="3"/>
    </w:p>
    <w:p w:rsidR="00890768" w:rsidRDefault="00890768" w:rsidP="002A04AC">
      <w:pPr>
        <w:spacing w:after="0" w:line="360" w:lineRule="auto"/>
        <w:ind w:firstLine="709"/>
        <w:jc w:val="both"/>
      </w:pPr>
      <w:r>
        <w:t xml:space="preserve">Ключевая идея </w:t>
      </w:r>
      <w:r>
        <w:rPr>
          <w:lang w:val="en-US"/>
        </w:rPr>
        <w:t>DFT</w:t>
      </w:r>
      <w:r>
        <w:t xml:space="preserve"> заключается в том, что все свойства системы многих электронов в ее основном состоянии однозначно определяются ее электронной плотностью </w:t>
      </w:r>
      <w:r w:rsidRPr="00890768">
        <w:rPr>
          <w:i/>
          <w:lang w:val="en-US"/>
        </w:rPr>
        <w:t>n</w:t>
      </w:r>
      <w:r w:rsidRPr="00890768">
        <w:rPr>
          <w:i/>
        </w:rPr>
        <w:t>(</w:t>
      </w:r>
      <w:r w:rsidRPr="00890768">
        <w:rPr>
          <w:b/>
          <w:i/>
          <w:lang w:val="en-US"/>
        </w:rPr>
        <w:t>r</w:t>
      </w:r>
      <w:r w:rsidRPr="00890768">
        <w:rPr>
          <w:i/>
        </w:rPr>
        <w:t>)</w:t>
      </w:r>
      <w:r>
        <w:rPr>
          <w:i/>
        </w:rPr>
        <w:t xml:space="preserve">, </w:t>
      </w:r>
      <w:r>
        <w:t xml:space="preserve">которая является функцией всего трех пространственных переменных, а не волновой функцией, зависящей от </w:t>
      </w:r>
      <w:r w:rsidRPr="00890768">
        <w:rPr>
          <w:i/>
        </w:rPr>
        <w:t>3</w:t>
      </w:r>
      <w:r w:rsidRPr="00890768">
        <w:rPr>
          <w:i/>
          <w:lang w:val="en-US"/>
        </w:rPr>
        <w:t>N</w:t>
      </w:r>
      <w:r>
        <w:t xml:space="preserve"> переменных </w:t>
      </w:r>
      <w:r w:rsidR="002A04AC">
        <w:t>(Теорема Хоэнберга-Кона).</w:t>
      </w:r>
    </w:p>
    <w:p w:rsidR="002A04AC" w:rsidRDefault="002A04AC" w:rsidP="00890768">
      <w:pPr>
        <w:ind w:left="708"/>
      </w:pPr>
      <w:r>
        <w:t xml:space="preserve">На практике </w:t>
      </w:r>
      <w:r>
        <w:rPr>
          <w:lang w:val="en-US"/>
        </w:rPr>
        <w:t>DFT</w:t>
      </w:r>
      <w:r>
        <w:t xml:space="preserve"> реализуется через уравнения Кона-Шэма:</w:t>
      </w:r>
    </w:p>
    <w:p w:rsidR="002A04AC" w:rsidRDefault="002A04AC" w:rsidP="002A04AC">
      <w:pPr>
        <w:spacing w:after="0"/>
        <w:ind w:left="708"/>
      </w:pPr>
    </w:p>
    <w:p w:rsidR="002A04AC" w:rsidRDefault="002A04AC" w:rsidP="002A04AC">
      <w:pPr>
        <w:tabs>
          <w:tab w:val="center" w:pos="4820"/>
          <w:tab w:val="right" w:pos="9355"/>
        </w:tabs>
        <w:spacing w:after="0" w:line="360" w:lineRule="auto"/>
        <w:rPr>
          <w:rFonts w:eastAsiaTheme="minorEastAsia"/>
        </w:rPr>
      </w:pPr>
      <w:r>
        <w:rPr>
          <w:rFonts w:eastAsiaTheme="minorEastAsia"/>
        </w:rPr>
        <w:tab/>
      </w:r>
      <m:oMath>
        <m:d>
          <m:dPr>
            <m:begChr m:val="["/>
            <m:end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m:rPr>
                    <m:sty m:val="p"/>
                  </m:rPr>
                  <w:rPr>
                    <w:rFonts w:ascii="Cambria Math" w:hAnsi="Cambria Math"/>
                  </w:rPr>
                  <m:t>∇</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lang w:val="en-US"/>
                  </w:rPr>
                  <m:t>V</m:t>
                </m:r>
              </m:e>
              <m:sub>
                <m:r>
                  <w:rPr>
                    <w:rFonts w:ascii="Cambria Math" w:hAnsi="Cambria Math"/>
                  </w:rPr>
                  <m:t>n</m:t>
                </m:r>
              </m:sub>
            </m:sSub>
            <m:d>
              <m:dPr>
                <m:ctrlPr>
                  <w:rPr>
                    <w:rFonts w:ascii="Cambria Math" w:hAnsi="Cambria Math"/>
                    <w:i/>
                  </w:rPr>
                </m:ctrlPr>
              </m:dPr>
              <m:e>
                <m:r>
                  <m:rPr>
                    <m:sty m:val="bi"/>
                  </m:rPr>
                  <w:rPr>
                    <w:rFonts w:ascii="Cambria Math" w:hAnsi="Cambria Math"/>
                  </w:rPr>
                  <m:t>r</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H</m:t>
                </m:r>
              </m:sub>
            </m:sSub>
            <m:d>
              <m:dPr>
                <m:ctrlPr>
                  <w:rPr>
                    <w:rFonts w:ascii="Cambria Math" w:hAnsi="Cambria Math"/>
                    <w:i/>
                  </w:rPr>
                </m:ctrlPr>
              </m:dPr>
              <m:e>
                <m:r>
                  <m:rPr>
                    <m:sty m:val="bi"/>
                  </m:rPr>
                  <w:rPr>
                    <w:rFonts w:ascii="Cambria Math" w:hAnsi="Cambria Math"/>
                  </w:rPr>
                  <m:t>r</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xc</m:t>
                </m:r>
              </m:sub>
            </m:sSub>
            <m:d>
              <m:dPr>
                <m:ctrlPr>
                  <w:rPr>
                    <w:rFonts w:ascii="Cambria Math" w:hAnsi="Cambria Math"/>
                    <w:i/>
                  </w:rPr>
                </m:ctrlPr>
              </m:dPr>
              <m:e>
                <m:r>
                  <m:rPr>
                    <m:sty m:val="bi"/>
                  </m:rPr>
                  <w:rPr>
                    <w:rFonts w:ascii="Cambria Math" w:hAnsi="Cambria Math"/>
                  </w:rPr>
                  <m:t>r</m:t>
                </m:r>
              </m:e>
            </m:d>
          </m:e>
        </m:d>
        <m:sSub>
          <m:sSubPr>
            <m:ctrlPr>
              <w:rPr>
                <w:rFonts w:ascii="Cambria Math" w:hAnsi="Cambria Math"/>
                <w:i/>
              </w:rPr>
            </m:ctrlPr>
          </m:sSubPr>
          <m:e>
            <m:r>
              <w:rPr>
                <w:rFonts w:ascii="Cambria Math" w:hAnsi="Cambria Math"/>
                <w:i/>
              </w:rPr>
              <w:sym w:font="Symbol" w:char="F066"/>
            </m:r>
          </m:e>
          <m:sub>
            <m:r>
              <w:rPr>
                <w:rFonts w:ascii="Cambria Math" w:hAnsi="Cambria Math"/>
              </w:rPr>
              <m:t>i</m:t>
            </m:r>
          </m:sub>
        </m:sSub>
        <m:d>
          <m:dPr>
            <m:ctrlPr>
              <w:rPr>
                <w:rFonts w:ascii="Cambria Math" w:hAnsi="Cambria Math"/>
                <w:i/>
              </w:rPr>
            </m:ctrlPr>
          </m:dPr>
          <m:e>
            <m:r>
              <m:rPr>
                <m:sty m:val="bi"/>
              </m:rPr>
              <w:rPr>
                <w:rFonts w:ascii="Cambria Math" w:hAnsi="Cambria Math"/>
              </w:rPr>
              <m:t>r</m:t>
            </m:r>
          </m:e>
        </m:d>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m:t>
            </m:r>
          </m:sub>
        </m:sSub>
        <m:sSub>
          <m:sSubPr>
            <m:ctrlPr>
              <w:rPr>
                <w:rFonts w:ascii="Cambria Math" w:hAnsi="Cambria Math"/>
                <w:i/>
              </w:rPr>
            </m:ctrlPr>
          </m:sSubPr>
          <m:e>
            <m:r>
              <w:rPr>
                <w:rFonts w:ascii="Cambria Math" w:hAnsi="Cambria Math"/>
                <w:i/>
              </w:rPr>
              <w:sym w:font="Symbol" w:char="F066"/>
            </m:r>
          </m:e>
          <m:sub>
            <m:r>
              <w:rPr>
                <w:rFonts w:ascii="Cambria Math" w:hAnsi="Cambria Math"/>
              </w:rPr>
              <m:t>i</m:t>
            </m:r>
          </m:sub>
        </m:sSub>
        <m:r>
          <w:rPr>
            <w:rFonts w:ascii="Cambria Math" w:hAnsi="Cambria Math"/>
          </w:rPr>
          <m:t>(</m:t>
        </m:r>
        <m:r>
          <m:rPr>
            <m:sty m:val="bi"/>
          </m:rPr>
          <w:rPr>
            <w:rFonts w:ascii="Cambria Math" w:hAnsi="Cambria Math"/>
          </w:rPr>
          <m:t>r</m:t>
        </m:r>
        <m:r>
          <w:rPr>
            <w:rFonts w:ascii="Cambria Math" w:hAnsi="Cambria Math"/>
          </w:rPr>
          <m:t>)</m:t>
        </m:r>
      </m:oMath>
      <w:r w:rsidRPr="002A04AC">
        <w:rPr>
          <w:rFonts w:eastAsiaTheme="minorEastAsia"/>
        </w:rPr>
        <w:t xml:space="preserve">, </w:t>
      </w:r>
      <w:r>
        <w:rPr>
          <w:rFonts w:eastAsiaTheme="minorEastAsia"/>
        </w:rPr>
        <w:tab/>
        <w:t>(1)</w:t>
      </w:r>
    </w:p>
    <w:p w:rsidR="002A04AC" w:rsidRDefault="002A04AC" w:rsidP="002A04AC">
      <w:pPr>
        <w:tabs>
          <w:tab w:val="center" w:pos="4820"/>
          <w:tab w:val="right" w:pos="9355"/>
        </w:tabs>
        <w:spacing w:after="0"/>
        <w:rPr>
          <w:rFonts w:eastAsiaTheme="minorEastAsia"/>
        </w:rPr>
      </w:pPr>
    </w:p>
    <w:p w:rsidR="002A04AC" w:rsidRDefault="002A04AC" w:rsidP="002A04AC">
      <w:pPr>
        <w:tabs>
          <w:tab w:val="center" w:pos="4820"/>
          <w:tab w:val="right" w:pos="9355"/>
        </w:tabs>
        <w:spacing w:after="0" w:line="360" w:lineRule="auto"/>
        <w:jc w:val="both"/>
        <w:rPr>
          <w:rFonts w:eastAsiaTheme="minorEastAsia" w:cs="Times New Roman"/>
        </w:rPr>
      </w:pPr>
      <w:r w:rsidRPr="002A04AC">
        <w:rPr>
          <w:rFonts w:eastAsiaTheme="minorEastAsia" w:cs="Times New Roman"/>
        </w:rPr>
        <w:t xml:space="preserve">где </w:t>
      </w:r>
      <m:oMath>
        <m:r>
          <w:rPr>
            <w:rFonts w:cs="Times New Roman"/>
          </w:rPr>
          <m:t>-</m:t>
        </m:r>
        <m:f>
          <m:fPr>
            <m:ctrlPr>
              <w:rPr>
                <w:rFonts w:ascii="Cambria Math" w:hAnsi="Cambria Math" w:cs="Times New Roman"/>
                <w:i/>
              </w:rPr>
            </m:ctrlPr>
          </m:fPr>
          <m:num>
            <m:r>
              <w:rPr>
                <w:rFonts w:ascii="Cambria Math" w:cs="Times New Roman"/>
              </w:rPr>
              <m:t>1</m:t>
            </m:r>
          </m:num>
          <m:den>
            <m:r>
              <w:rPr>
                <w:rFonts w:ascii="Cambria Math" w:cs="Times New Roman"/>
              </w:rPr>
              <m:t>2</m:t>
            </m:r>
          </m:den>
        </m:f>
        <m:sSup>
          <m:sSupPr>
            <m:ctrlPr>
              <w:rPr>
                <w:rFonts w:ascii="Cambria Math" w:hAnsi="Cambria Math" w:cs="Times New Roman"/>
                <w:i/>
              </w:rPr>
            </m:ctrlPr>
          </m:sSupPr>
          <m:e>
            <m:r>
              <m:rPr>
                <m:sty m:val="p"/>
              </m:rPr>
              <w:rPr>
                <w:rFonts w:ascii="Cambria Math" w:hAnsi="Cambria Math" w:cs="Times New Roman"/>
              </w:rPr>
              <m:t>∇</m:t>
            </m:r>
          </m:e>
          <m:sup>
            <m:r>
              <w:rPr>
                <w:rFonts w:ascii="Cambria Math" w:cs="Times New Roman"/>
              </w:rPr>
              <m:t>2</m:t>
            </m:r>
          </m:sup>
        </m:sSup>
      </m:oMath>
      <w:r w:rsidRPr="002A04AC">
        <w:rPr>
          <w:rFonts w:eastAsiaTheme="minorEastAsia" w:cs="Times New Roman"/>
        </w:rPr>
        <w:t xml:space="preserve"> – оператор кинетической энергии; </w:t>
      </w:r>
      <m:oMath>
        <m:sSub>
          <m:sSubPr>
            <m:ctrlPr>
              <w:rPr>
                <w:rFonts w:ascii="Cambria Math" w:hAnsi="Cambria Math" w:cs="Times New Roman"/>
                <w:i/>
              </w:rPr>
            </m:ctrlPr>
          </m:sSubPr>
          <m:e>
            <m:r>
              <w:rPr>
                <w:rFonts w:ascii="Cambria Math" w:hAnsi="Cambria Math" w:cs="Times New Roman"/>
                <w:lang w:val="en-US"/>
              </w:rPr>
              <m:t>V</m:t>
            </m:r>
          </m:e>
          <m:sub>
            <m:r>
              <w:rPr>
                <w:rFonts w:ascii="Cambria Math" w:hAnsi="Cambria Math" w:cs="Times New Roman"/>
              </w:rPr>
              <m:t>n</m:t>
            </m:r>
          </m:sub>
        </m:sSub>
      </m:oMath>
      <w:r w:rsidRPr="002A04AC">
        <w:rPr>
          <w:rFonts w:eastAsiaTheme="minorEastAsia" w:cs="Times New Roman"/>
        </w:rPr>
        <w:t xml:space="preserve"> – потенциал ядра;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H</m:t>
            </m:r>
          </m:sub>
        </m:sSub>
      </m:oMath>
      <w:r w:rsidRPr="002A04AC">
        <w:rPr>
          <w:rFonts w:eastAsiaTheme="minorEastAsia" w:cs="Times New Roman"/>
        </w:rPr>
        <w:t xml:space="preserve"> – Хартриевский потенциал, описывающий классическое электростатическое отталкивание;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xc</m:t>
            </m:r>
          </m:sub>
        </m:sSub>
      </m:oMath>
      <w:r w:rsidRPr="002A04AC">
        <w:rPr>
          <w:rFonts w:eastAsiaTheme="minorEastAsia" w:cs="Times New Roman"/>
        </w:rPr>
        <w:t xml:space="preserve"> – обменно-корреляционный потенциал, который включает в себя все квантово-механические эффекты многоэлектронного взаимодействия.</w:t>
      </w:r>
    </w:p>
    <w:p w:rsidR="005B5FF0" w:rsidRDefault="002A04AC" w:rsidP="002A04AC">
      <w:pPr>
        <w:tabs>
          <w:tab w:val="center" w:pos="4820"/>
          <w:tab w:val="right" w:pos="9355"/>
        </w:tabs>
        <w:spacing w:after="0" w:line="360" w:lineRule="auto"/>
        <w:ind w:firstLine="709"/>
        <w:jc w:val="both"/>
        <w:rPr>
          <w:rFonts w:eastAsiaTheme="minorEastAsia" w:cs="Times New Roman"/>
        </w:rPr>
      </w:pPr>
      <w:r>
        <w:rPr>
          <w:rFonts w:eastAsiaTheme="minorEastAsia" w:cs="Times New Roman"/>
        </w:rPr>
        <w:t>Вся сложность  и точность метода заключается в выборе приближения для обме</w:t>
      </w:r>
      <w:r w:rsidR="00456BE1">
        <w:rPr>
          <w:rFonts w:eastAsiaTheme="minorEastAsia" w:cs="Times New Roman"/>
        </w:rPr>
        <w:t>нно-корреляционного функционала.</w:t>
      </w:r>
      <w:r w:rsidR="005B5FF0">
        <w:rPr>
          <w:rFonts w:eastAsiaTheme="minorEastAsia" w:cs="Times New Roman"/>
        </w:rPr>
        <w:t xml:space="preserve"> Функционалы в </w:t>
      </w:r>
      <w:r w:rsidR="005B5FF0">
        <w:rPr>
          <w:rFonts w:eastAsiaTheme="minorEastAsia" w:cs="Times New Roman"/>
          <w:lang w:val="en-US"/>
        </w:rPr>
        <w:t>DFT</w:t>
      </w:r>
      <w:r w:rsidR="005B5FF0">
        <w:rPr>
          <w:rFonts w:eastAsiaTheme="minorEastAsia" w:cs="Times New Roman"/>
        </w:rPr>
        <w:t xml:space="preserve"> классифицируются по «Лестнице Иакова» Пердью (рис. 1), где каждая ступенька соответствует добавлению новых физических компонент в описание обменно-корреляционной энергии. Подъем по лестнице, как правило, ведет к увеличению точности, но и к резкому росту вычислительной стоимости.</w:t>
      </w:r>
    </w:p>
    <w:p w:rsidR="005B5FF0" w:rsidRDefault="005B5FF0" w:rsidP="005B5FF0">
      <w:pPr>
        <w:tabs>
          <w:tab w:val="center" w:pos="4820"/>
          <w:tab w:val="right" w:pos="9355"/>
        </w:tabs>
        <w:spacing w:after="0" w:line="360" w:lineRule="auto"/>
        <w:jc w:val="both"/>
        <w:rPr>
          <w:rFonts w:eastAsiaTheme="minorEastAsia" w:cs="Times New Roman"/>
          <w:noProof/>
          <w:lang w:eastAsia="ru-RU"/>
        </w:rPr>
      </w:pPr>
    </w:p>
    <w:p w:rsidR="005B5FF0" w:rsidRDefault="005B5FF0" w:rsidP="005B5FF0">
      <w:pPr>
        <w:tabs>
          <w:tab w:val="center" w:pos="4820"/>
          <w:tab w:val="right" w:pos="9355"/>
        </w:tabs>
        <w:spacing w:after="0" w:line="360" w:lineRule="auto"/>
        <w:jc w:val="center"/>
        <w:rPr>
          <w:rFonts w:eastAsiaTheme="minorEastAsia" w:cs="Times New Roman"/>
          <w:noProof/>
          <w:lang w:eastAsia="ru-RU"/>
        </w:rPr>
      </w:pPr>
      <w:r>
        <w:rPr>
          <w:rFonts w:eastAsiaTheme="minorEastAsia" w:cs="Times New Roman"/>
          <w:noProof/>
          <w:lang w:eastAsia="ru-RU"/>
        </w:rPr>
        <w:lastRenderedPageBreak/>
        <w:drawing>
          <wp:inline distT="0" distB="0" distL="0" distR="0">
            <wp:extent cx="2609850" cy="2895302"/>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48777" t="27563" r="26641" b="23918"/>
                    <a:stretch>
                      <a:fillRect/>
                    </a:stretch>
                  </pic:blipFill>
                  <pic:spPr bwMode="auto">
                    <a:xfrm>
                      <a:off x="0" y="0"/>
                      <a:ext cx="2609850" cy="2895302"/>
                    </a:xfrm>
                    <a:prstGeom prst="rect">
                      <a:avLst/>
                    </a:prstGeom>
                    <a:noFill/>
                    <a:ln w="9525">
                      <a:noFill/>
                      <a:miter lim="800000"/>
                      <a:headEnd/>
                      <a:tailEnd/>
                    </a:ln>
                  </pic:spPr>
                </pic:pic>
              </a:graphicData>
            </a:graphic>
          </wp:inline>
        </w:drawing>
      </w:r>
    </w:p>
    <w:p w:rsidR="005B5FF0" w:rsidRPr="002F1179" w:rsidRDefault="005B5FF0" w:rsidP="005B5FF0">
      <w:pPr>
        <w:tabs>
          <w:tab w:val="center" w:pos="4820"/>
          <w:tab w:val="right" w:pos="9355"/>
        </w:tabs>
        <w:spacing w:after="0"/>
        <w:jc w:val="center"/>
        <w:rPr>
          <w:rFonts w:eastAsiaTheme="minorEastAsia" w:cs="Times New Roman"/>
          <w:noProof/>
          <w:lang w:eastAsia="ru-RU"/>
        </w:rPr>
      </w:pPr>
      <w:r>
        <w:rPr>
          <w:rFonts w:eastAsiaTheme="minorEastAsia" w:cs="Times New Roman"/>
          <w:noProof/>
          <w:lang w:eastAsia="ru-RU"/>
        </w:rPr>
        <w:t xml:space="preserve">Рисунок 1 – </w:t>
      </w:r>
      <w:r w:rsidRPr="005B5FF0">
        <w:rPr>
          <w:rFonts w:eastAsiaTheme="minorEastAsia" w:cs="Times New Roman"/>
          <w:noProof/>
          <w:lang w:eastAsia="ru-RU"/>
        </w:rPr>
        <w:t>Схематическое изображение "Лестницы Иакова" Пердью, показывающее функционалы разных уровней и примеры для каждого.</w:t>
      </w:r>
      <w:r>
        <w:rPr>
          <w:rFonts w:eastAsiaTheme="minorEastAsia" w:cs="Times New Roman"/>
          <w:noProof/>
          <w:lang w:eastAsia="ru-RU"/>
        </w:rPr>
        <w:t xml:space="preserve"> </w:t>
      </w:r>
      <w:r>
        <w:rPr>
          <w:rFonts w:eastAsiaTheme="minorEastAsia" w:cs="Times New Roman"/>
          <w:noProof/>
          <w:lang w:val="en-US" w:eastAsia="ru-RU"/>
        </w:rPr>
        <w:sym w:font="Symbol" w:char="F072"/>
      </w:r>
      <w:r w:rsidRPr="005B5FF0">
        <w:rPr>
          <w:rFonts w:eastAsiaTheme="minorEastAsia" w:cs="Times New Roman"/>
          <w:noProof/>
          <w:lang w:eastAsia="ru-RU"/>
        </w:rPr>
        <w:t xml:space="preserve"> </w:t>
      </w:r>
      <w:r>
        <w:rPr>
          <w:rFonts w:eastAsiaTheme="minorEastAsia" w:cs="Times New Roman"/>
          <w:noProof/>
          <w:lang w:eastAsia="ru-RU"/>
        </w:rPr>
        <w:t>–</w:t>
      </w:r>
      <w:r w:rsidRPr="002F1179">
        <w:rPr>
          <w:rFonts w:eastAsiaTheme="minorEastAsia" w:cs="Times New Roman"/>
          <w:noProof/>
          <w:lang w:eastAsia="ru-RU"/>
        </w:rPr>
        <w:t xml:space="preserve"> </w:t>
      </w:r>
      <w:r>
        <w:rPr>
          <w:rFonts w:eastAsiaTheme="minorEastAsia" w:cs="Times New Roman"/>
          <w:noProof/>
          <w:lang w:eastAsia="ru-RU"/>
        </w:rPr>
        <w:t xml:space="preserve">электронная плотность, </w:t>
      </w:r>
      <w:r>
        <w:rPr>
          <w:rFonts w:eastAsiaTheme="minorEastAsia" w:cs="Times New Roman"/>
          <w:noProof/>
          <w:lang w:eastAsia="ru-RU"/>
        </w:rPr>
        <w:sym w:font="Symbol" w:char="F074"/>
      </w:r>
      <w:r>
        <w:rPr>
          <w:rFonts w:eastAsiaTheme="minorEastAsia" w:cs="Times New Roman"/>
          <w:noProof/>
          <w:lang w:eastAsia="ru-RU"/>
        </w:rPr>
        <w:t xml:space="preserve"> – плотность кинетической энергии, </w:t>
      </w:r>
      <w:r>
        <w:rPr>
          <w:rFonts w:eastAsiaTheme="minorEastAsia" w:cs="Times New Roman"/>
          <w:noProof/>
          <w:lang w:eastAsia="ru-RU"/>
        </w:rPr>
        <w:sym w:font="Symbol" w:char="F066"/>
      </w:r>
      <w:r>
        <w:rPr>
          <w:rFonts w:eastAsiaTheme="minorEastAsia" w:cs="Times New Roman"/>
          <w:noProof/>
          <w:lang w:eastAsia="ru-RU"/>
        </w:rPr>
        <w:t xml:space="preserve"> – молекулярная орбиталь </w:t>
      </w:r>
      <w:r w:rsidRPr="002F1179">
        <w:rPr>
          <w:rFonts w:eastAsiaTheme="minorEastAsia" w:cs="Times New Roman"/>
          <w:noProof/>
          <w:lang w:eastAsia="ru-RU"/>
        </w:rPr>
        <w:t>[</w:t>
      </w:r>
      <w:r w:rsidR="0041560E">
        <w:rPr>
          <w:rFonts w:eastAsiaTheme="minorEastAsia" w:cs="Times New Roman"/>
          <w:noProof/>
          <w:lang w:eastAsia="ru-RU"/>
        </w:rPr>
        <w:t>1</w:t>
      </w:r>
      <w:r w:rsidRPr="002F1179">
        <w:rPr>
          <w:rFonts w:eastAsiaTheme="minorEastAsia" w:cs="Times New Roman"/>
          <w:noProof/>
          <w:lang w:eastAsia="ru-RU"/>
        </w:rPr>
        <w:t>]</w:t>
      </w:r>
    </w:p>
    <w:p w:rsidR="005B5FF0" w:rsidRDefault="005B5FF0" w:rsidP="005B5FF0">
      <w:pPr>
        <w:tabs>
          <w:tab w:val="center" w:pos="4820"/>
          <w:tab w:val="right" w:pos="9355"/>
        </w:tabs>
        <w:spacing w:after="0"/>
        <w:ind w:firstLine="709"/>
        <w:jc w:val="both"/>
        <w:rPr>
          <w:rFonts w:eastAsiaTheme="minorEastAsia" w:cs="Times New Roman"/>
        </w:rPr>
      </w:pPr>
    </w:p>
    <w:p w:rsidR="002A04AC" w:rsidRDefault="002A04AC" w:rsidP="002A04AC">
      <w:pPr>
        <w:tabs>
          <w:tab w:val="center" w:pos="4820"/>
          <w:tab w:val="right" w:pos="9355"/>
        </w:tabs>
        <w:spacing w:after="0" w:line="360" w:lineRule="auto"/>
        <w:ind w:firstLine="709"/>
        <w:jc w:val="both"/>
        <w:rPr>
          <w:rFonts w:eastAsiaTheme="minorEastAsia" w:cs="Times New Roman"/>
        </w:rPr>
      </w:pPr>
      <w:r>
        <w:rPr>
          <w:rFonts w:eastAsiaTheme="minorEastAsia" w:cs="Times New Roman"/>
        </w:rPr>
        <w:t xml:space="preserve">Наиболее </w:t>
      </w:r>
      <w:r w:rsidR="00456BE1">
        <w:rPr>
          <w:rFonts w:eastAsiaTheme="minorEastAsia" w:cs="Times New Roman"/>
        </w:rPr>
        <w:t xml:space="preserve">распространены: локальное приближение </w:t>
      </w:r>
      <w:r w:rsidR="00456BE1">
        <w:rPr>
          <w:rFonts w:eastAsiaTheme="minorEastAsia" w:cs="Times New Roman"/>
          <w:lang w:val="en-US"/>
        </w:rPr>
        <w:t>L</w:t>
      </w:r>
      <w:r>
        <w:rPr>
          <w:rFonts w:eastAsiaTheme="minorEastAsia" w:cs="Times New Roman"/>
          <w:lang w:val="en-US"/>
        </w:rPr>
        <w:t>DA</w:t>
      </w:r>
      <w:r w:rsidRPr="00456BE1">
        <w:rPr>
          <w:rFonts w:eastAsiaTheme="minorEastAsia" w:cs="Times New Roman"/>
        </w:rPr>
        <w:t xml:space="preserve"> (</w:t>
      </w:r>
      <w:r>
        <w:rPr>
          <w:rFonts w:eastAsiaTheme="minorEastAsia" w:cs="Times New Roman"/>
          <w:lang w:val="en-US"/>
        </w:rPr>
        <w:t>Local</w:t>
      </w:r>
      <w:r w:rsidRPr="00456BE1">
        <w:rPr>
          <w:rFonts w:eastAsiaTheme="minorEastAsia" w:cs="Times New Roman"/>
        </w:rPr>
        <w:t xml:space="preserve"> </w:t>
      </w:r>
      <w:r>
        <w:rPr>
          <w:rFonts w:eastAsiaTheme="minorEastAsia" w:cs="Times New Roman"/>
          <w:lang w:val="en-US"/>
        </w:rPr>
        <w:t>Density</w:t>
      </w:r>
      <w:r w:rsidRPr="00456BE1">
        <w:rPr>
          <w:rFonts w:eastAsiaTheme="minorEastAsia" w:cs="Times New Roman"/>
        </w:rPr>
        <w:t xml:space="preserve"> </w:t>
      </w:r>
      <w:r>
        <w:rPr>
          <w:rFonts w:eastAsiaTheme="minorEastAsia" w:cs="Times New Roman"/>
          <w:lang w:val="en-US"/>
        </w:rPr>
        <w:t>Approximation</w:t>
      </w:r>
      <w:r w:rsidR="00456BE1">
        <w:rPr>
          <w:rFonts w:eastAsiaTheme="minorEastAsia" w:cs="Times New Roman"/>
        </w:rPr>
        <w:t xml:space="preserve">), приближение обобщенного градиента </w:t>
      </w:r>
      <w:r w:rsidR="00456BE1">
        <w:rPr>
          <w:rFonts w:eastAsiaTheme="minorEastAsia" w:cs="Times New Roman"/>
          <w:lang w:val="en-US"/>
        </w:rPr>
        <w:t>GGA</w:t>
      </w:r>
      <w:r w:rsidR="00456BE1" w:rsidRPr="00456BE1">
        <w:rPr>
          <w:rFonts w:eastAsiaTheme="minorEastAsia" w:cs="Times New Roman"/>
        </w:rPr>
        <w:t xml:space="preserve"> (</w:t>
      </w:r>
      <w:r w:rsidR="00456BE1">
        <w:rPr>
          <w:rFonts w:eastAsiaTheme="minorEastAsia" w:cs="Times New Roman"/>
          <w:lang w:val="en-US"/>
        </w:rPr>
        <w:t>Generalized</w:t>
      </w:r>
      <w:r w:rsidR="00456BE1" w:rsidRPr="00456BE1">
        <w:rPr>
          <w:rFonts w:eastAsiaTheme="minorEastAsia" w:cs="Times New Roman"/>
        </w:rPr>
        <w:t xml:space="preserve"> </w:t>
      </w:r>
      <w:r w:rsidR="00456BE1">
        <w:rPr>
          <w:rFonts w:eastAsiaTheme="minorEastAsia" w:cs="Times New Roman"/>
          <w:lang w:val="en-US"/>
        </w:rPr>
        <w:t>Gradient</w:t>
      </w:r>
      <w:r w:rsidR="00456BE1" w:rsidRPr="00456BE1">
        <w:rPr>
          <w:rFonts w:eastAsiaTheme="minorEastAsia" w:cs="Times New Roman"/>
        </w:rPr>
        <w:t xml:space="preserve"> </w:t>
      </w:r>
      <w:r w:rsidR="00456BE1">
        <w:rPr>
          <w:rFonts w:eastAsiaTheme="minorEastAsia" w:cs="Times New Roman"/>
          <w:lang w:val="en-US"/>
        </w:rPr>
        <w:t>Approximation</w:t>
      </w:r>
      <w:r w:rsidR="00456BE1" w:rsidRPr="00456BE1">
        <w:rPr>
          <w:rFonts w:eastAsiaTheme="minorEastAsia" w:cs="Times New Roman"/>
        </w:rPr>
        <w:t xml:space="preserve">), </w:t>
      </w:r>
      <w:r w:rsidR="00456BE1">
        <w:rPr>
          <w:rFonts w:eastAsiaTheme="minorEastAsia" w:cs="Times New Roman"/>
        </w:rPr>
        <w:t xml:space="preserve">например, функционал </w:t>
      </w:r>
      <w:r w:rsidR="00456BE1">
        <w:rPr>
          <w:rFonts w:eastAsiaTheme="minorEastAsia" w:cs="Times New Roman"/>
          <w:lang w:val="en-US"/>
        </w:rPr>
        <w:t>PBE</w:t>
      </w:r>
      <w:r w:rsidR="00456BE1">
        <w:rPr>
          <w:rFonts w:eastAsiaTheme="minorEastAsia" w:cs="Times New Roman"/>
        </w:rPr>
        <w:t xml:space="preserve">, и гибридные функционалы, такие как </w:t>
      </w:r>
      <w:r w:rsidR="00456BE1">
        <w:rPr>
          <w:rFonts w:eastAsiaTheme="minorEastAsia" w:cs="Times New Roman"/>
          <w:lang w:val="en-US"/>
        </w:rPr>
        <w:t>B</w:t>
      </w:r>
      <w:r w:rsidR="00456BE1" w:rsidRPr="00456BE1">
        <w:rPr>
          <w:rFonts w:eastAsiaTheme="minorEastAsia" w:cs="Times New Roman"/>
        </w:rPr>
        <w:t>3</w:t>
      </w:r>
      <w:r w:rsidR="00456BE1">
        <w:rPr>
          <w:rFonts w:eastAsiaTheme="minorEastAsia" w:cs="Times New Roman"/>
          <w:lang w:val="en-US"/>
        </w:rPr>
        <w:t>LYP</w:t>
      </w:r>
      <w:r w:rsidR="00456BE1" w:rsidRPr="00456BE1">
        <w:rPr>
          <w:rFonts w:eastAsiaTheme="minorEastAsia" w:cs="Times New Roman"/>
        </w:rPr>
        <w:t>.</w:t>
      </w:r>
      <w:r w:rsidR="00456BE1">
        <w:rPr>
          <w:rFonts w:eastAsiaTheme="minorEastAsia" w:cs="Times New Roman"/>
        </w:rPr>
        <w:t xml:space="preserve"> </w:t>
      </w:r>
      <w:r w:rsidR="00456BE1">
        <w:rPr>
          <w:rFonts w:eastAsiaTheme="minorEastAsia" w:cs="Times New Roman"/>
          <w:lang w:val="en-US"/>
        </w:rPr>
        <w:t>LDA</w:t>
      </w:r>
      <w:r w:rsidR="00456BE1">
        <w:rPr>
          <w:rFonts w:eastAsiaTheme="minorEastAsia" w:cs="Times New Roman"/>
        </w:rPr>
        <w:t xml:space="preserve"> использует точное решение для однородного электронного газа. Хорошо предсказывает геометрию, но завышает энергии связывания. </w:t>
      </w:r>
      <w:r w:rsidR="00456BE1">
        <w:rPr>
          <w:rFonts w:eastAsiaTheme="minorEastAsia" w:cs="Times New Roman"/>
          <w:lang w:val="en-US"/>
        </w:rPr>
        <w:t>GGA</w:t>
      </w:r>
      <w:r w:rsidR="00456BE1" w:rsidRPr="00456BE1">
        <w:rPr>
          <w:rFonts w:eastAsiaTheme="minorEastAsia" w:cs="Times New Roman"/>
        </w:rPr>
        <w:t xml:space="preserve"> </w:t>
      </w:r>
      <w:r w:rsidR="00456BE1">
        <w:rPr>
          <w:rFonts w:eastAsiaTheme="minorEastAsia" w:cs="Times New Roman"/>
        </w:rPr>
        <w:t xml:space="preserve">учитывает не только плотность, но и ее градиент. Значительно улучшает точность энергий связывания и геометрии. Гибридные функционалы смешивают </w:t>
      </w:r>
      <w:r w:rsidR="00456BE1">
        <w:rPr>
          <w:rFonts w:eastAsiaTheme="minorEastAsia" w:cs="Times New Roman"/>
          <w:lang w:val="en-US"/>
        </w:rPr>
        <w:t>DFT</w:t>
      </w:r>
      <w:r w:rsidR="00456BE1" w:rsidRPr="00456BE1">
        <w:rPr>
          <w:rFonts w:eastAsiaTheme="minorEastAsia" w:cs="Times New Roman"/>
        </w:rPr>
        <w:t xml:space="preserve"> </w:t>
      </w:r>
      <w:r w:rsidR="00456BE1">
        <w:rPr>
          <w:rFonts w:eastAsiaTheme="minorEastAsia" w:cs="Times New Roman"/>
        </w:rPr>
        <w:t xml:space="preserve">с точным обменом из теории Хартри-Фока. Обеспечивает высокую точность для энергий, но требуют больших вычислительных ресурсов. На практике </w:t>
      </w:r>
      <w:r w:rsidR="00456BE1">
        <w:rPr>
          <w:rFonts w:eastAsiaTheme="minorEastAsia" w:cs="Times New Roman"/>
          <w:lang w:val="en-US"/>
        </w:rPr>
        <w:t>DFT</w:t>
      </w:r>
      <w:r w:rsidR="00456BE1" w:rsidRPr="00BC0DC5">
        <w:rPr>
          <w:rFonts w:eastAsiaTheme="minorEastAsia" w:cs="Times New Roman"/>
        </w:rPr>
        <w:t xml:space="preserve"> </w:t>
      </w:r>
      <w:r w:rsidR="00456BE1">
        <w:rPr>
          <w:rFonts w:eastAsiaTheme="minorEastAsia" w:cs="Times New Roman"/>
        </w:rPr>
        <w:t>с функционалами</w:t>
      </w:r>
      <w:r w:rsidR="00BC0DC5">
        <w:rPr>
          <w:rFonts w:eastAsiaTheme="minorEastAsia" w:cs="Times New Roman"/>
        </w:rPr>
        <w:t xml:space="preserve"> </w:t>
      </w:r>
      <w:r w:rsidR="00BC0DC5">
        <w:rPr>
          <w:rFonts w:eastAsiaTheme="minorEastAsia" w:cs="Times New Roman"/>
          <w:lang w:val="en-US"/>
        </w:rPr>
        <w:t>GGA</w:t>
      </w:r>
      <w:r w:rsidR="00BC0DC5" w:rsidRPr="00BC0DC5">
        <w:rPr>
          <w:rFonts w:eastAsiaTheme="minorEastAsia" w:cs="Times New Roman"/>
        </w:rPr>
        <w:t xml:space="preserve"> </w:t>
      </w:r>
      <w:r w:rsidR="00BC0DC5">
        <w:rPr>
          <w:rFonts w:eastAsiaTheme="minorEastAsia" w:cs="Times New Roman"/>
        </w:rPr>
        <w:t>и гибридными позволяют предсказывать равновесные геометрии молекул, колебательные частоты и электронную структуру с погрешностью менее 1%, что делает ее незаменимым инструментом для моделирования структуры лекарственных молекул и их взаимодействий.</w:t>
      </w:r>
    </w:p>
    <w:p w:rsidR="00BC0DC5" w:rsidRDefault="00BC0DC5" w:rsidP="00BC0DC5">
      <w:pPr>
        <w:tabs>
          <w:tab w:val="center" w:pos="4820"/>
          <w:tab w:val="right" w:pos="9355"/>
        </w:tabs>
        <w:spacing w:after="0"/>
        <w:ind w:firstLine="709"/>
        <w:jc w:val="both"/>
        <w:rPr>
          <w:rFonts w:eastAsiaTheme="minorEastAsia" w:cs="Times New Roman"/>
        </w:rPr>
      </w:pPr>
    </w:p>
    <w:p w:rsidR="00A17222" w:rsidRPr="00BC0DC5" w:rsidRDefault="00A17222" w:rsidP="00BC0DC5">
      <w:pPr>
        <w:tabs>
          <w:tab w:val="center" w:pos="4820"/>
          <w:tab w:val="right" w:pos="9355"/>
        </w:tabs>
        <w:spacing w:after="0"/>
        <w:ind w:firstLine="709"/>
        <w:jc w:val="both"/>
        <w:rPr>
          <w:rFonts w:eastAsiaTheme="minorEastAsia" w:cs="Times New Roman"/>
        </w:rPr>
      </w:pPr>
    </w:p>
    <w:p w:rsidR="004025E3" w:rsidRPr="00370869" w:rsidRDefault="00A17222" w:rsidP="001C5646">
      <w:pPr>
        <w:pStyle w:val="1"/>
        <w:numPr>
          <w:ilvl w:val="0"/>
          <w:numId w:val="6"/>
        </w:numPr>
        <w:spacing w:before="0" w:line="360" w:lineRule="auto"/>
        <w:ind w:left="0" w:firstLine="0"/>
        <w:jc w:val="both"/>
        <w:rPr>
          <w:rFonts w:ascii="Times New Roman" w:hAnsi="Times New Roman" w:cs="Times New Roman"/>
          <w:color w:val="000000" w:themeColor="text1"/>
        </w:rPr>
      </w:pPr>
      <w:bookmarkStart w:id="4" w:name="_Toc215743398"/>
      <w:r>
        <w:rPr>
          <w:rFonts w:ascii="Times New Roman" w:hAnsi="Times New Roman" w:cs="Times New Roman"/>
          <w:color w:val="000000" w:themeColor="text1"/>
        </w:rPr>
        <w:lastRenderedPageBreak/>
        <w:t>Вычислительные методы и программные комплексы</w:t>
      </w:r>
      <w:bookmarkEnd w:id="4"/>
    </w:p>
    <w:p w:rsidR="007D5211" w:rsidRPr="00370869" w:rsidRDefault="001C5646" w:rsidP="00C037D5">
      <w:pPr>
        <w:pStyle w:val="2"/>
        <w:numPr>
          <w:ilvl w:val="1"/>
          <w:numId w:val="6"/>
        </w:numPr>
        <w:spacing w:before="0" w:line="360" w:lineRule="auto"/>
        <w:ind w:left="357" w:firstLine="0"/>
        <w:jc w:val="both"/>
        <w:rPr>
          <w:rFonts w:ascii="Times New Roman" w:hAnsi="Times New Roman" w:cs="Times New Roman"/>
          <w:color w:val="000000" w:themeColor="text1"/>
          <w:sz w:val="28"/>
          <w:szCs w:val="28"/>
        </w:rPr>
      </w:pPr>
      <w:bookmarkStart w:id="5" w:name="_Toc215743399"/>
      <w:r>
        <w:rPr>
          <w:rFonts w:ascii="Times New Roman" w:hAnsi="Times New Roman" w:cs="Times New Roman"/>
          <w:color w:val="000000" w:themeColor="text1"/>
          <w:sz w:val="28"/>
          <w:szCs w:val="28"/>
        </w:rPr>
        <w:t>Подсистема</w:t>
      </w:r>
      <w:r w:rsidRPr="001C5646">
        <w:rPr>
          <w:rFonts w:ascii="Times New Roman" w:hAnsi="Times New Roman" w:cs="Times New Roman"/>
          <w:color w:val="000000" w:themeColor="text1"/>
          <w:sz w:val="28"/>
          <w:szCs w:val="28"/>
        </w:rPr>
        <w:t xml:space="preserve"> </w:t>
      </w:r>
      <w:r w:rsidR="00D77F22" w:rsidRPr="001C5646">
        <w:rPr>
          <w:rFonts w:ascii="Times New Roman" w:hAnsi="Times New Roman" w:cs="Times New Roman"/>
          <w:color w:val="000000" w:themeColor="text1"/>
          <w:sz w:val="28"/>
          <w:szCs w:val="28"/>
          <w:lang w:val="en-US"/>
        </w:rPr>
        <w:t>Windows</w:t>
      </w:r>
      <w:r w:rsidR="00D77F22" w:rsidRPr="001C564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для</w:t>
      </w:r>
      <w:r w:rsidR="00D77F22" w:rsidRPr="001C5646">
        <w:rPr>
          <w:rFonts w:ascii="Times New Roman" w:hAnsi="Times New Roman" w:cs="Times New Roman"/>
          <w:color w:val="000000" w:themeColor="text1"/>
          <w:sz w:val="28"/>
          <w:szCs w:val="28"/>
        </w:rPr>
        <w:t xml:space="preserve"> </w:t>
      </w:r>
      <w:r w:rsidR="00D77F22" w:rsidRPr="001C5646">
        <w:rPr>
          <w:rFonts w:ascii="Times New Roman" w:hAnsi="Times New Roman" w:cs="Times New Roman"/>
          <w:color w:val="000000" w:themeColor="text1"/>
          <w:sz w:val="28"/>
          <w:szCs w:val="28"/>
          <w:lang w:val="en-US"/>
        </w:rPr>
        <w:t>Linux</w:t>
      </w:r>
      <w:r w:rsidR="00D77F22" w:rsidRPr="001C5646">
        <w:rPr>
          <w:rFonts w:ascii="Times New Roman" w:hAnsi="Times New Roman" w:cs="Times New Roman"/>
          <w:color w:val="000000" w:themeColor="text1"/>
          <w:sz w:val="28"/>
          <w:szCs w:val="28"/>
        </w:rPr>
        <w:t xml:space="preserve"> (</w:t>
      </w:r>
      <w:r w:rsidR="00D77F22" w:rsidRPr="001C5646">
        <w:rPr>
          <w:rFonts w:ascii="Times New Roman" w:hAnsi="Times New Roman" w:cs="Times New Roman"/>
          <w:color w:val="000000" w:themeColor="text1"/>
          <w:sz w:val="28"/>
          <w:szCs w:val="28"/>
          <w:lang w:val="en-US"/>
        </w:rPr>
        <w:t>WSL</w:t>
      </w:r>
      <w:r w:rsidR="00D77F22" w:rsidRPr="001C5646">
        <w:rPr>
          <w:rFonts w:ascii="Times New Roman" w:hAnsi="Times New Roman" w:cs="Times New Roman"/>
          <w:color w:val="000000" w:themeColor="text1"/>
          <w:sz w:val="28"/>
          <w:szCs w:val="28"/>
        </w:rPr>
        <w:t>)</w:t>
      </w:r>
      <w:bookmarkEnd w:id="5"/>
    </w:p>
    <w:p w:rsidR="00C037D5" w:rsidRDefault="001C5646" w:rsidP="001C5646">
      <w:pPr>
        <w:spacing w:after="0" w:line="360" w:lineRule="auto"/>
        <w:ind w:firstLine="709"/>
        <w:jc w:val="both"/>
      </w:pPr>
      <w:r>
        <w:t xml:space="preserve">Подсистема </w:t>
      </w:r>
      <w:r w:rsidR="00D77F22">
        <w:t xml:space="preserve">Windows </w:t>
      </w:r>
      <w:r>
        <w:t>для</w:t>
      </w:r>
      <w:r w:rsidR="00D77F22">
        <w:t xml:space="preserve"> Linux (WSL)</w:t>
      </w:r>
      <w:r>
        <w:t xml:space="preserve"> – это функциональная компонента </w:t>
      </w:r>
      <w:r w:rsidR="00D77F22">
        <w:t>операционной систем</w:t>
      </w:r>
      <w:r>
        <w:t>ы Microsoft Windows, позволяющая</w:t>
      </w:r>
      <w:r w:rsidR="00D77F22">
        <w:t xml:space="preserve"> запускать </w:t>
      </w:r>
      <w:r>
        <w:t xml:space="preserve">среду </w:t>
      </w:r>
      <w:r w:rsidR="00D77F22">
        <w:t xml:space="preserve">Linux непосредственно на </w:t>
      </w:r>
      <w:r>
        <w:t xml:space="preserve">компьютере с </w:t>
      </w:r>
      <w:r w:rsidR="00D77F22">
        <w:t>Windows без необходимости</w:t>
      </w:r>
      <w:r w:rsidR="005C45E9">
        <w:t xml:space="preserve"> использования виртуаль</w:t>
      </w:r>
      <w:r>
        <w:t>ной</w:t>
      </w:r>
      <w:r w:rsidR="00D77F22">
        <w:t xml:space="preserve"> </w:t>
      </w:r>
      <w:r>
        <w:t>машины</w:t>
      </w:r>
      <w:r w:rsidR="00D77F22">
        <w:t xml:space="preserve"> или</w:t>
      </w:r>
      <w:r>
        <w:t xml:space="preserve"> организации двойной загрузки</w:t>
      </w:r>
      <w:r w:rsidR="007D5211">
        <w:t xml:space="preserve"> </w:t>
      </w:r>
      <w:r w:rsidR="007D5211" w:rsidRPr="007D5211">
        <w:t>[</w:t>
      </w:r>
      <w:r w:rsidR="0041560E">
        <w:t>2</w:t>
      </w:r>
      <w:r w:rsidR="007D5211" w:rsidRPr="007D5211">
        <w:t>]</w:t>
      </w:r>
      <w:r>
        <w:t xml:space="preserve">. Данный совместимый слой </w:t>
      </w:r>
      <w:r w:rsidR="00D77F22">
        <w:t xml:space="preserve">обеспечивает выполнение бинарных файлов ELF (Executable and Linkable Format) в пользовательском пространстве Windows, минимизируя </w:t>
      </w:r>
      <w:r>
        <w:t>производительные</w:t>
      </w:r>
      <w:r w:rsidR="00D77F22">
        <w:t xml:space="preserve"> </w:t>
      </w:r>
      <w:r>
        <w:t>издержки</w:t>
      </w:r>
      <w:r w:rsidR="00D77F22">
        <w:t xml:space="preserve"> и упрощая интеграцию с</w:t>
      </w:r>
      <w:r>
        <w:t xml:space="preserve"> приложениями Windows</w:t>
      </w:r>
      <w:r w:rsidR="007D5211" w:rsidRPr="007D5211">
        <w:t xml:space="preserve"> [</w:t>
      </w:r>
      <w:r w:rsidR="0041560E">
        <w:t>3</w:t>
      </w:r>
      <w:r w:rsidR="007D5211" w:rsidRPr="007D5211">
        <w:t>]</w:t>
      </w:r>
      <w:r w:rsidR="00D77F22">
        <w:t xml:space="preserve">. WSL особенно </w:t>
      </w:r>
      <w:r w:rsidR="00C037D5">
        <w:t>востребована среди специалистов по вычислительной химии</w:t>
      </w:r>
      <w:r w:rsidR="00D77F22">
        <w:t xml:space="preserve">, работающих в смешанных </w:t>
      </w:r>
      <w:r w:rsidR="00C037D5">
        <w:t>программных средах</w:t>
      </w:r>
      <w:r w:rsidR="00D77F22">
        <w:t xml:space="preserve">, поскольку многие </w:t>
      </w:r>
      <w:r w:rsidR="00C037D5">
        <w:t xml:space="preserve">расчетные </w:t>
      </w:r>
      <w:r w:rsidR="00D77F22">
        <w:t xml:space="preserve">пакеты, такие как ORCA, Quantum ESPRESSO и CREST, изначально </w:t>
      </w:r>
      <w:r w:rsidR="00C037D5">
        <w:t>разработаны для операционных систем семейства</w:t>
      </w:r>
      <w:r w:rsidR="00D77F22">
        <w:t xml:space="preserve"> Linux. </w:t>
      </w:r>
    </w:p>
    <w:p w:rsidR="002F1179" w:rsidRDefault="00D77F22" w:rsidP="00370869">
      <w:pPr>
        <w:spacing w:after="0" w:line="360" w:lineRule="auto"/>
        <w:ind w:firstLine="709"/>
        <w:jc w:val="both"/>
      </w:pPr>
      <w:r>
        <w:t xml:space="preserve">В контексте расчётов малых лекарственных молекул WSL позволяет </w:t>
      </w:r>
      <w:r w:rsidR="00C037D5">
        <w:t>выполнять</w:t>
      </w:r>
      <w:r>
        <w:t xml:space="preserve"> скрипты автоматизации, </w:t>
      </w:r>
      <w:r w:rsidR="00C037D5">
        <w:t>например, для</w:t>
      </w:r>
      <w:r>
        <w:t xml:space="preserve"> конформ</w:t>
      </w:r>
      <w:r w:rsidR="00C037D5">
        <w:t>ационного</w:t>
      </w:r>
      <w:r>
        <w:t xml:space="preserve"> поиск</w:t>
      </w:r>
      <w:r w:rsidR="00C037D5">
        <w:t>а</w:t>
      </w:r>
      <w:r>
        <w:t xml:space="preserve"> или молекулярную динамику, на персональных компьютерах под</w:t>
      </w:r>
      <w:r w:rsidR="00C037D5">
        <w:t xml:space="preserve"> управлением</w:t>
      </w:r>
      <w:r>
        <w:t xml:space="preserve"> Windo</w:t>
      </w:r>
      <w:r w:rsidR="00C037D5">
        <w:t>ws</w:t>
      </w:r>
      <w:r>
        <w:t xml:space="preserve"> без</w:t>
      </w:r>
      <w:r w:rsidR="00C037D5">
        <w:t xml:space="preserve"> существенной</w:t>
      </w:r>
      <w:r>
        <w:t xml:space="preserve"> потери производительности. </w:t>
      </w:r>
      <w:r w:rsidR="00C037D5">
        <w:t>Так</w:t>
      </w:r>
      <w:r>
        <w:t xml:space="preserve">, </w:t>
      </w:r>
      <w:r w:rsidR="00C037D5">
        <w:t>исследователи</w:t>
      </w:r>
      <w:r>
        <w:t xml:space="preserve"> могут использовать WSL для интеграции с Python-библиотеками (</w:t>
      </w:r>
      <w:r w:rsidR="00C037D5">
        <w:t>такими как</w:t>
      </w:r>
      <w:r>
        <w:t xml:space="preserve"> RDKit для обработки молекул</w:t>
      </w:r>
      <w:r w:rsidR="00C037D5">
        <w:t>ярных структур</w:t>
      </w:r>
      <w:r>
        <w:t xml:space="preserve">) и </w:t>
      </w:r>
      <w:r w:rsidR="00C037D5">
        <w:t>проведения</w:t>
      </w:r>
      <w:r>
        <w:t xml:space="preserve"> </w:t>
      </w:r>
      <w:r w:rsidR="00C037D5">
        <w:t>ресурсоемких</w:t>
      </w:r>
      <w:r>
        <w:t xml:space="preserve"> расчётов, что ускоряет итеративный</w:t>
      </w:r>
      <w:r w:rsidR="00C037D5">
        <w:t xml:space="preserve"> процесс</w:t>
      </w:r>
      <w:r>
        <w:t xml:space="preserve"> дизайн</w:t>
      </w:r>
      <w:r w:rsidR="00C037D5">
        <w:t>а</w:t>
      </w:r>
      <w:r>
        <w:t xml:space="preserve"> лекарств. </w:t>
      </w:r>
      <w:r w:rsidR="00C037D5">
        <w:t>Следует отметить</w:t>
      </w:r>
      <w:r>
        <w:t>,</w:t>
      </w:r>
      <w:r w:rsidR="00C037D5">
        <w:t xml:space="preserve"> что</w:t>
      </w:r>
      <w:r>
        <w:t xml:space="preserve"> WSL</w:t>
      </w:r>
      <w:r w:rsidR="00C037D5">
        <w:t xml:space="preserve"> в первую очередь</w:t>
      </w:r>
      <w:r>
        <w:t xml:space="preserve"> </w:t>
      </w:r>
      <w:r w:rsidR="00C037D5">
        <w:t xml:space="preserve">ориентирована на работу через командную строку, а ее сильной стороной является интеграция с такими инструментами, как </w:t>
      </w:r>
      <w:r w:rsidR="00C037D5">
        <w:rPr>
          <w:lang w:val="en-US"/>
        </w:rPr>
        <w:t>Git</w:t>
      </w:r>
      <w:r w:rsidR="00C037D5" w:rsidRPr="00C037D5">
        <w:t xml:space="preserve"> </w:t>
      </w:r>
      <w:r w:rsidR="00C037D5">
        <w:t xml:space="preserve">или </w:t>
      </w:r>
      <w:r w:rsidR="00C037D5">
        <w:rPr>
          <w:lang w:val="en-US"/>
        </w:rPr>
        <w:t>Conda</w:t>
      </w:r>
      <w:r w:rsidR="00C037D5">
        <w:t>,</w:t>
      </w:r>
      <w:r>
        <w:t xml:space="preserve"> для</w:t>
      </w:r>
      <w:r w:rsidR="00C037D5">
        <w:t xml:space="preserve"> управления программными зависимостями</w:t>
      </w:r>
      <w:r>
        <w:t>.</w:t>
      </w:r>
      <w:r w:rsidR="00B92034" w:rsidRPr="00B92034">
        <w:t xml:space="preserve"> </w:t>
      </w:r>
    </w:p>
    <w:p w:rsidR="007B063C" w:rsidRPr="002F1179" w:rsidRDefault="002F1179" w:rsidP="00C037D5">
      <w:pPr>
        <w:pStyle w:val="2"/>
        <w:numPr>
          <w:ilvl w:val="1"/>
          <w:numId w:val="6"/>
        </w:numPr>
        <w:spacing w:before="0" w:line="360" w:lineRule="auto"/>
        <w:ind w:left="357" w:firstLine="0"/>
        <w:jc w:val="both"/>
        <w:rPr>
          <w:rFonts w:ascii="Times New Roman" w:hAnsi="Times New Roman" w:cs="Times New Roman"/>
          <w:color w:val="000000" w:themeColor="text1"/>
          <w:sz w:val="28"/>
          <w:szCs w:val="28"/>
          <w:lang w:val="en-US"/>
        </w:rPr>
      </w:pPr>
      <w:bookmarkStart w:id="6" w:name="_Toc215743400"/>
      <w:r>
        <w:rPr>
          <w:rFonts w:ascii="Times New Roman" w:hAnsi="Times New Roman" w:cs="Times New Roman"/>
          <w:color w:val="000000" w:themeColor="text1"/>
          <w:sz w:val="28"/>
          <w:szCs w:val="28"/>
        </w:rPr>
        <w:t>Метод</w:t>
      </w:r>
      <w:r w:rsidRPr="002F1179">
        <w:rPr>
          <w:rFonts w:ascii="Times New Roman" w:hAnsi="Times New Roman" w:cs="Times New Roman"/>
          <w:color w:val="000000" w:themeColor="text1"/>
          <w:sz w:val="28"/>
          <w:szCs w:val="28"/>
          <w:lang w:val="en-US"/>
        </w:rPr>
        <w:t xml:space="preserve"> </w:t>
      </w:r>
      <w:r w:rsidR="007B063C" w:rsidRPr="007B063C">
        <w:rPr>
          <w:rFonts w:ascii="Times New Roman" w:hAnsi="Times New Roman" w:cs="Times New Roman"/>
          <w:color w:val="000000" w:themeColor="text1"/>
          <w:sz w:val="28"/>
          <w:szCs w:val="28"/>
          <w:lang w:val="en-US"/>
        </w:rPr>
        <w:t>E</w:t>
      </w:r>
      <w:r w:rsidR="00D77F22" w:rsidRPr="002F1179">
        <w:rPr>
          <w:rFonts w:ascii="Times New Roman" w:hAnsi="Times New Roman" w:cs="Times New Roman"/>
          <w:color w:val="000000" w:themeColor="text1"/>
          <w:sz w:val="28"/>
          <w:szCs w:val="28"/>
          <w:lang w:val="en-US"/>
        </w:rPr>
        <w:t>xtended Tight-Binding (xTB)</w:t>
      </w:r>
      <w:bookmarkEnd w:id="6"/>
    </w:p>
    <w:p w:rsidR="00F62FC1" w:rsidRDefault="00210DDA" w:rsidP="00210DDA">
      <w:pPr>
        <w:spacing w:after="0" w:line="360" w:lineRule="auto"/>
        <w:ind w:firstLine="709"/>
        <w:jc w:val="both"/>
      </w:pPr>
      <w:r>
        <w:t xml:space="preserve">Однако </w:t>
      </w:r>
      <w:r>
        <w:rPr>
          <w:lang w:val="en-US"/>
        </w:rPr>
        <w:t>DFT</w:t>
      </w:r>
      <w:r>
        <w:t xml:space="preserve">, особенно в гибридных вариантах, остается вычислительно дорогой для скрининга тысяч соединений или работы с большими гибкими молекулами. Здесь на первый план выходят современные полуэмпирические методы, такие как </w:t>
      </w:r>
      <w:r w:rsidR="00D77F22">
        <w:t xml:space="preserve">extended Tight-Binding (xTB), </w:t>
      </w:r>
      <w:r w:rsidR="00D77F22">
        <w:lastRenderedPageBreak/>
        <w:t>разработанный</w:t>
      </w:r>
      <w:r w:rsidR="00F62FC1">
        <w:t xml:space="preserve"> научной группой под руководством</w:t>
      </w:r>
      <w:r w:rsidR="00D77F22">
        <w:t xml:space="preserve"> Стеф</w:t>
      </w:r>
      <w:r>
        <w:t>аном Гримме.</w:t>
      </w:r>
      <w:r w:rsidR="00D77F22">
        <w:t xml:space="preserve"> </w:t>
      </w:r>
      <w:r>
        <w:t xml:space="preserve">Метод </w:t>
      </w:r>
      <w:r w:rsidR="00F62FC1">
        <w:t>представляет собой полуэмпирический</w:t>
      </w:r>
      <w:r w:rsidR="00D77F22">
        <w:t xml:space="preserve"> квантово-</w:t>
      </w:r>
      <w:r w:rsidR="00F62FC1">
        <w:t>химический подход. Он основан</w:t>
      </w:r>
      <w:r w:rsidR="00D77F22">
        <w:t xml:space="preserve"> на аппроксимациях теории</w:t>
      </w:r>
      <w:r w:rsidR="00F62FC1">
        <w:t xml:space="preserve"> функционала плотности</w:t>
      </w:r>
      <w:r w:rsidR="00D77F22">
        <w:t xml:space="preserve"> </w:t>
      </w:r>
      <w:r w:rsidR="00F62FC1">
        <w:t>(DFT) и предназначен для быстрого расчёта</w:t>
      </w:r>
      <w:r w:rsidR="00D77F22">
        <w:t xml:space="preserve"> геометрий, энергий и свойств больших молекулярных систем</w:t>
      </w:r>
      <w:r w:rsidR="007B063C" w:rsidRPr="007B063C">
        <w:t xml:space="preserve"> [</w:t>
      </w:r>
      <w:r w:rsidR="0041560E">
        <w:t>4, 5</w:t>
      </w:r>
      <w:r w:rsidR="007B063C" w:rsidRPr="007B063C">
        <w:t>]</w:t>
      </w:r>
      <w:r w:rsidR="00F62FC1">
        <w:t>. В</w:t>
      </w:r>
      <w:r w:rsidR="00D77F22">
        <w:t xml:space="preserve"> отличие от классических полуэмпирических методов (</w:t>
      </w:r>
      <w:r w:rsidR="00F62FC1">
        <w:t>таких как</w:t>
      </w:r>
      <w:r w:rsidR="00D77F22">
        <w:t xml:space="preserve"> AM1 или PM6), xTB включает</w:t>
      </w:r>
      <w:r w:rsidR="00F62FC1">
        <w:t xml:space="preserve"> в себя</w:t>
      </w:r>
      <w:r w:rsidR="00D77F22">
        <w:t xml:space="preserve"> анизотропные эффекты флуктуаций плотности второго пор</w:t>
      </w:r>
      <w:r w:rsidR="007F0AAE">
        <w:t>ядка и дисперсионные поправки. Это</w:t>
      </w:r>
      <w:r w:rsidR="00D77F22">
        <w:t xml:space="preserve"> </w:t>
      </w:r>
      <w:r w:rsidR="00F62FC1">
        <w:t>обеспечивает высокую</w:t>
      </w:r>
      <w:r w:rsidR="00D77F22">
        <w:t xml:space="preserve"> точн</w:t>
      </w:r>
      <w:r w:rsidR="00F62FC1">
        <w:t>ость</w:t>
      </w:r>
      <w:r w:rsidR="00D77F22">
        <w:t xml:space="preserve"> </w:t>
      </w:r>
      <w:r w:rsidR="00F62FC1">
        <w:t>при описании</w:t>
      </w:r>
      <w:r w:rsidR="00D77F22">
        <w:t xml:space="preserve"> нековалентных взаимодействий, таких как водородные связи и ван-дер-ваальсовы силы</w:t>
      </w:r>
      <w:r>
        <w:t>, которые критически важны для связывания лиганда с белком</w:t>
      </w:r>
      <w:r w:rsidR="00D77F22">
        <w:t xml:space="preserve">. </w:t>
      </w:r>
    </w:p>
    <w:p w:rsidR="00D77F22" w:rsidRDefault="00D77F22" w:rsidP="00370869">
      <w:pPr>
        <w:spacing w:after="0" w:line="360" w:lineRule="auto"/>
        <w:ind w:firstLine="709"/>
        <w:jc w:val="both"/>
      </w:pPr>
      <w:r>
        <w:t>Семейство методов GFNn-xTB (где n обозначает версию, например, GFN2-xTB) параметризовано для</w:t>
      </w:r>
      <w:r w:rsidR="007F0AAE">
        <w:t xml:space="preserve"> большей части</w:t>
      </w:r>
      <w:r>
        <w:t xml:space="preserve"> элементов периодической таблицы, </w:t>
      </w:r>
      <w:r w:rsidR="007F0AAE">
        <w:t>что обеспечивает</w:t>
      </w:r>
      <w:r>
        <w:t xml:space="preserve"> баланс между скоростью</w:t>
      </w:r>
      <w:r w:rsidR="007F0AAE">
        <w:t xml:space="preserve"> расчета</w:t>
      </w:r>
      <w:r>
        <w:t xml:space="preserve"> и точностью</w:t>
      </w:r>
      <w:r w:rsidR="007F0AAE">
        <w:t xml:space="preserve"> результатов</w:t>
      </w:r>
      <w:r>
        <w:t xml:space="preserve">. </w:t>
      </w:r>
      <w:r w:rsidR="007F0AAE">
        <w:t>При работе с</w:t>
      </w:r>
      <w:r>
        <w:t xml:space="preserve"> </w:t>
      </w:r>
      <w:r w:rsidR="007F0AAE">
        <w:t>малыми лекарственными</w:t>
      </w:r>
      <w:r>
        <w:t xml:space="preserve"> молекул</w:t>
      </w:r>
      <w:r w:rsidR="007F0AAE">
        <w:t>ами xTB идеально подходит</w:t>
      </w:r>
      <w:r>
        <w:t xml:space="preserve"> для</w:t>
      </w:r>
      <w:r w:rsidR="007F0AAE">
        <w:t xml:space="preserve"> стадии</w:t>
      </w:r>
      <w:r>
        <w:t xml:space="preserve"> предварительного скрининга: он </w:t>
      </w:r>
      <w:r w:rsidR="007F0AAE">
        <w:t>позволяет оптимизировать геометрию</w:t>
      </w:r>
      <w:r>
        <w:t xml:space="preserve"> молекул</w:t>
      </w:r>
      <w:r w:rsidR="007F0AAE">
        <w:t>, состоящих из сотен</w:t>
      </w:r>
      <w:r>
        <w:t xml:space="preserve"> атомов за</w:t>
      </w:r>
      <w:r w:rsidR="007F0AAE">
        <w:t xml:space="preserve"> несколько секунд</w:t>
      </w:r>
      <w:r>
        <w:t xml:space="preserve">, предсказывать конформационные энергии </w:t>
      </w:r>
      <w:r w:rsidR="007F0AAE">
        <w:t>и рассчитывать спектры (ИК, УФ-в</w:t>
      </w:r>
      <w:r>
        <w:t>ид</w:t>
      </w:r>
      <w:r w:rsidR="007F0AAE">
        <w:t>имой области</w:t>
      </w:r>
      <w:r>
        <w:t xml:space="preserve">). Например, </w:t>
      </w:r>
      <w:r w:rsidR="007F0AAE">
        <w:t xml:space="preserve">при разработке </w:t>
      </w:r>
      <w:r>
        <w:t>ингибиторов протеаз xTB</w:t>
      </w:r>
      <w:r w:rsidR="00563D09">
        <w:t xml:space="preserve"> может быть использован</w:t>
      </w:r>
      <w:r>
        <w:t xml:space="preserve"> для оценки аффин</w:t>
      </w:r>
      <w:r w:rsidR="00563D09">
        <w:t>ности связывания лиганда с</w:t>
      </w:r>
      <w:r>
        <w:t xml:space="preserve"> рецептор</w:t>
      </w:r>
      <w:r w:rsidR="00563D09">
        <w:t>ом в тех случаях, когда</w:t>
      </w:r>
      <w:r>
        <w:t xml:space="preserve"> традиционные</w:t>
      </w:r>
      <w:r w:rsidR="00563D09">
        <w:t xml:space="preserve"> расчеты методом DFT оказываются чрезмерно</w:t>
      </w:r>
      <w:r>
        <w:t xml:space="preserve"> ресурсоёмкими. Недавние разработки, такие как g-xTB, улучшают точность для переходных металлов, расширяя применение к металлоорганическим лекарствам.</w:t>
      </w:r>
      <w:r w:rsidR="00563D09">
        <w:t xml:space="preserve"> </w:t>
      </w:r>
    </w:p>
    <w:p w:rsidR="00284C46" w:rsidRPr="00563D09" w:rsidRDefault="00D77F22" w:rsidP="00563D09">
      <w:pPr>
        <w:pStyle w:val="2"/>
        <w:numPr>
          <w:ilvl w:val="1"/>
          <w:numId w:val="6"/>
        </w:numPr>
        <w:spacing w:before="0" w:line="360" w:lineRule="auto"/>
        <w:ind w:left="357" w:firstLine="0"/>
        <w:jc w:val="both"/>
        <w:rPr>
          <w:rFonts w:ascii="Times New Roman" w:hAnsi="Times New Roman" w:cs="Times New Roman"/>
          <w:color w:val="000000" w:themeColor="text1"/>
          <w:sz w:val="28"/>
          <w:szCs w:val="28"/>
        </w:rPr>
      </w:pPr>
      <w:bookmarkStart w:id="7" w:name="_Toc215743401"/>
      <w:r w:rsidRPr="007B063C">
        <w:rPr>
          <w:rFonts w:ascii="Times New Roman" w:hAnsi="Times New Roman" w:cs="Times New Roman"/>
          <w:color w:val="000000" w:themeColor="text1"/>
          <w:sz w:val="28"/>
          <w:szCs w:val="28"/>
        </w:rPr>
        <w:t>CREST</w:t>
      </w:r>
      <w:bookmarkEnd w:id="7"/>
    </w:p>
    <w:p w:rsidR="00F928EE" w:rsidRDefault="00210DDA" w:rsidP="00210DDA">
      <w:pPr>
        <w:spacing w:after="0" w:line="360" w:lineRule="auto"/>
        <w:ind w:firstLine="709"/>
        <w:jc w:val="both"/>
      </w:pPr>
      <w:r>
        <w:t xml:space="preserve">Логичным развитием </w:t>
      </w:r>
      <w:r>
        <w:rPr>
          <w:lang w:val="en-US"/>
        </w:rPr>
        <w:t>xTB</w:t>
      </w:r>
      <w:r>
        <w:t xml:space="preserve"> является программный пакет </w:t>
      </w:r>
      <w:r w:rsidR="00D77F22" w:rsidRPr="00D77F22">
        <w:rPr>
          <w:lang w:val="en-US"/>
        </w:rPr>
        <w:t>CREST</w:t>
      </w:r>
      <w:r w:rsidR="00D77F22" w:rsidRPr="00D77F22">
        <w:t xml:space="preserve"> (</w:t>
      </w:r>
      <w:r w:rsidR="00D77F22" w:rsidRPr="00D77F22">
        <w:rPr>
          <w:lang w:val="en-US"/>
        </w:rPr>
        <w:t>Conformer</w:t>
      </w:r>
      <w:r w:rsidR="00D77F22" w:rsidRPr="00D77F22">
        <w:t>-</w:t>
      </w:r>
      <w:r w:rsidR="00D77F22" w:rsidRPr="00D77F22">
        <w:rPr>
          <w:lang w:val="en-US"/>
        </w:rPr>
        <w:t>Rotamer</w:t>
      </w:r>
      <w:r w:rsidR="00D77F22" w:rsidRPr="00D77F22">
        <w:t xml:space="preserve"> </w:t>
      </w:r>
      <w:r w:rsidR="00D77F22" w:rsidRPr="00D77F22">
        <w:rPr>
          <w:lang w:val="en-US"/>
        </w:rPr>
        <w:t>Ensemble</w:t>
      </w:r>
      <w:r w:rsidR="00D77F22" w:rsidRPr="00D77F22">
        <w:t xml:space="preserve"> </w:t>
      </w:r>
      <w:r w:rsidR="00D77F22" w:rsidRPr="00D77F22">
        <w:rPr>
          <w:lang w:val="en-US"/>
        </w:rPr>
        <w:t>Sampling</w:t>
      </w:r>
      <w:r w:rsidR="00D77F22" w:rsidRPr="00D77F22">
        <w:t xml:space="preserve"> </w:t>
      </w:r>
      <w:r w:rsidR="00D77F22" w:rsidRPr="00D77F22">
        <w:rPr>
          <w:lang w:val="en-US"/>
        </w:rPr>
        <w:t>Tool</w:t>
      </w:r>
      <w:r w:rsidR="00D77F22" w:rsidRPr="00D77F22">
        <w:t xml:space="preserve">), </w:t>
      </w:r>
      <w:r w:rsidR="00D77F22">
        <w:t>разработанный</w:t>
      </w:r>
      <w:r w:rsidR="00D77F22" w:rsidRPr="00D77F22">
        <w:t xml:space="preserve"> </w:t>
      </w:r>
      <w:r w:rsidR="00D77F22">
        <w:t>группой</w:t>
      </w:r>
      <w:r w:rsidR="00D77F22" w:rsidRPr="00D77F22">
        <w:t xml:space="preserve"> </w:t>
      </w:r>
      <w:r w:rsidR="00D77F22">
        <w:t>Гримме</w:t>
      </w:r>
      <w:r>
        <w:t xml:space="preserve">. Этот метод решает одну из ключевых проблем в дизайне лекарств – проблему конформационной гибкости. Вместо того чтобы вручную искать низкоэнергетические конформеры, </w:t>
      </w:r>
      <w:r>
        <w:rPr>
          <w:lang w:val="en-US"/>
        </w:rPr>
        <w:t>CREST</w:t>
      </w:r>
      <w:r>
        <w:t xml:space="preserve"> автоматически исследует конформационное пространство </w:t>
      </w:r>
      <w:r w:rsidR="00284C46" w:rsidRPr="00284C46">
        <w:t>[</w:t>
      </w:r>
      <w:r w:rsidR="0041560E">
        <w:t>6</w:t>
      </w:r>
      <w:r w:rsidR="00284C46" w:rsidRPr="00284C46">
        <w:t>]</w:t>
      </w:r>
      <w:r>
        <w:t xml:space="preserve">, используя </w:t>
      </w:r>
      <w:r w:rsidR="00D77F22">
        <w:t xml:space="preserve">метадинамику (iMTD) и </w:t>
      </w:r>
      <w:r w:rsidR="00D77F22">
        <w:lastRenderedPageBreak/>
        <w:t xml:space="preserve">генетические алгоритмы для генерации и отбора конформеров, включая ротационные изомеры, </w:t>
      </w:r>
      <w:r w:rsidR="00622BB0">
        <w:t xml:space="preserve">в связке с </w:t>
      </w:r>
      <w:r w:rsidR="00D77F22">
        <w:t>xTB</w:t>
      </w:r>
      <w:r w:rsidR="00622BB0">
        <w:t xml:space="preserve"> в качестве вычислительного движка</w:t>
      </w:r>
      <w:r w:rsidR="00D77F22">
        <w:t>. Это позволяет</w:t>
      </w:r>
      <w:r w:rsidR="00622BB0">
        <w:t xml:space="preserve"> находить редкие, но биологические значимые</w:t>
      </w:r>
      <w:r w:rsidR="00D77F22">
        <w:t xml:space="preserve"> конф</w:t>
      </w:r>
      <w:r w:rsidR="00F928EE">
        <w:t>ормаци</w:t>
      </w:r>
      <w:r w:rsidR="00622BB0">
        <w:t>и, которые могут быть упущены при стандартном переборе</w:t>
      </w:r>
      <w:r w:rsidR="00D77F22">
        <w:t xml:space="preserve">. </w:t>
      </w:r>
    </w:p>
    <w:p w:rsidR="00D77F22" w:rsidRDefault="00F928EE" w:rsidP="00370869">
      <w:pPr>
        <w:spacing w:after="0" w:line="360" w:lineRule="auto"/>
        <w:ind w:firstLine="709"/>
        <w:jc w:val="both"/>
      </w:pPr>
      <w:r>
        <w:t>При работе с</w:t>
      </w:r>
      <w:r w:rsidR="00D77F22">
        <w:t xml:space="preserve"> </w:t>
      </w:r>
      <w:r>
        <w:t>малыми лекарственными</w:t>
      </w:r>
      <w:r w:rsidR="00D77F22">
        <w:t xml:space="preserve"> молекул</w:t>
      </w:r>
      <w:r>
        <w:t>ами</w:t>
      </w:r>
      <w:r w:rsidR="00D77F22">
        <w:t xml:space="preserve"> CREST особенно ценен для предс</w:t>
      </w:r>
      <w:r>
        <w:t>казания биоактивных конформаций.</w:t>
      </w:r>
      <w:r w:rsidR="00D77F22">
        <w:t xml:space="preserve"> </w:t>
      </w:r>
      <w:r>
        <w:t>В фармацевтических исследованиях</w:t>
      </w:r>
      <w:r w:rsidR="00D77F22">
        <w:t xml:space="preserve"> он применяется для генерации ансамблей конформеров потенциальных лекарств</w:t>
      </w:r>
      <w:r>
        <w:t>енных соединений</w:t>
      </w:r>
      <w:r w:rsidR="00D77F22">
        <w:t xml:space="preserve">, что </w:t>
      </w:r>
      <w:r>
        <w:t>повышает</w:t>
      </w:r>
      <w:r w:rsidR="00D77F22">
        <w:t xml:space="preserve"> точность</w:t>
      </w:r>
      <w:r>
        <w:t xml:space="preserve"> молекулярного</w:t>
      </w:r>
      <w:r w:rsidR="00D77F22">
        <w:t xml:space="preserve"> </w:t>
      </w:r>
      <w:r w:rsidR="00284C46">
        <w:t>докинга</w:t>
      </w:r>
      <w:r w:rsidR="00D77F22">
        <w:t xml:space="preserve"> и </w:t>
      </w:r>
      <w:r>
        <w:t xml:space="preserve">моделей </w:t>
      </w:r>
      <w:r w:rsidR="00D77F22">
        <w:t>QSAR</w:t>
      </w:r>
      <w:r>
        <w:t xml:space="preserve"> (количественная структура-активность)</w:t>
      </w:r>
      <w:r w:rsidR="00D77F22">
        <w:t xml:space="preserve">. </w:t>
      </w:r>
      <w:r>
        <w:t>Согласно литературным данным,</w:t>
      </w:r>
      <w:r w:rsidR="00D77F22">
        <w:t xml:space="preserve"> CREST</w:t>
      </w:r>
      <w:r>
        <w:t xml:space="preserve"> позволяет</w:t>
      </w:r>
      <w:r w:rsidR="00D77F22">
        <w:t xml:space="preserve"> </w:t>
      </w:r>
      <w:r>
        <w:t>быстро находить низкоэнергетические</w:t>
      </w:r>
      <w:r w:rsidR="00D77F22">
        <w:t xml:space="preserve"> структур</w:t>
      </w:r>
      <w:r>
        <w:t>ы</w:t>
      </w:r>
      <w:r w:rsidR="00D77F22">
        <w:t xml:space="preserve"> для молекул с </w:t>
      </w:r>
      <w:r>
        <w:t>множеством степеней</w:t>
      </w:r>
      <w:r w:rsidR="00D77F22">
        <w:t xml:space="preserve"> свободы, таких как пептидомиметики, с точностью, сопоставимой с</w:t>
      </w:r>
      <w:r>
        <w:t xml:space="preserve"> расчетами методом</w:t>
      </w:r>
      <w:r w:rsidR="00D77F22">
        <w:t xml:space="preserve"> DFT, но при значительно меньших вычислительных затратах. Варианты CREST, адаптированные для нековалентных кластеров, расширяют его на моделирование комплексов лиганд-рецептор.</w:t>
      </w:r>
    </w:p>
    <w:p w:rsidR="00284C46" w:rsidRPr="00563D09" w:rsidRDefault="00D77F22" w:rsidP="00563D09">
      <w:pPr>
        <w:pStyle w:val="2"/>
        <w:numPr>
          <w:ilvl w:val="1"/>
          <w:numId w:val="6"/>
        </w:numPr>
        <w:spacing w:before="0" w:line="360" w:lineRule="auto"/>
        <w:ind w:left="357" w:firstLine="0"/>
        <w:jc w:val="both"/>
        <w:rPr>
          <w:rFonts w:ascii="Times New Roman" w:hAnsi="Times New Roman" w:cs="Times New Roman"/>
          <w:color w:val="000000" w:themeColor="text1"/>
          <w:sz w:val="28"/>
          <w:szCs w:val="28"/>
        </w:rPr>
      </w:pPr>
      <w:bookmarkStart w:id="8" w:name="_Toc215743402"/>
      <w:r w:rsidRPr="00284C46">
        <w:rPr>
          <w:rFonts w:ascii="Times New Roman" w:hAnsi="Times New Roman" w:cs="Times New Roman"/>
          <w:color w:val="000000" w:themeColor="text1"/>
          <w:sz w:val="28"/>
          <w:szCs w:val="28"/>
        </w:rPr>
        <w:t>ORCA</w:t>
      </w:r>
      <w:bookmarkEnd w:id="8"/>
    </w:p>
    <w:p w:rsidR="00B634E3" w:rsidRDefault="00622BB0" w:rsidP="00B651D9">
      <w:pPr>
        <w:spacing w:after="0" w:line="360" w:lineRule="auto"/>
        <w:ind w:firstLine="709"/>
        <w:jc w:val="both"/>
      </w:pPr>
      <w:r>
        <w:t xml:space="preserve">Когда же требуется максимальная точность для финального пула наиболее перспективных кандидатов используют </w:t>
      </w:r>
      <w:r w:rsidR="00D77F22">
        <w:t>ORCA</w:t>
      </w:r>
      <w:r>
        <w:t xml:space="preserve">. </w:t>
      </w:r>
      <w:r>
        <w:rPr>
          <w:lang w:val="en-US"/>
        </w:rPr>
        <w:t>ORCA</w:t>
      </w:r>
      <w:r w:rsidR="00D77F22">
        <w:t xml:space="preserve"> </w:t>
      </w:r>
      <w:r w:rsidR="00BB3121">
        <w:t>–</w:t>
      </w:r>
      <w:r w:rsidR="00D77F22">
        <w:t xml:space="preserve"> это много</w:t>
      </w:r>
      <w:r w:rsidR="00B634E3">
        <w:t>функциональный</w:t>
      </w:r>
      <w:r w:rsidR="00D77F22">
        <w:t xml:space="preserve"> пакет для квантовой химии, разработанный группой Франка Низе, который поддерживает широкий спектр методов, включая полуэмпирические, DFT, многочастичные пертурбационные</w:t>
      </w:r>
      <w:r w:rsidR="00B634E3">
        <w:t xml:space="preserve"> теории</w:t>
      </w:r>
      <w:r w:rsidR="00D77F22">
        <w:t xml:space="preserve"> и</w:t>
      </w:r>
      <w:r w:rsidR="00B634E3">
        <w:t xml:space="preserve"> методы коррелированных волновых</w:t>
      </w:r>
      <w:r w:rsidR="00D77F22">
        <w:t xml:space="preserve"> функци</w:t>
      </w:r>
      <w:r w:rsidR="00B634E3">
        <w:t>й</w:t>
      </w:r>
      <w:r w:rsidR="00D77F22">
        <w:t xml:space="preserve">. ORCA оптимизирован для расчётов больших молекул и комплексов с переходными металлами, и </w:t>
      </w:r>
      <w:r>
        <w:t>позволяет с высокой точностью предсказывать спектроскопические</w:t>
      </w:r>
      <w:r w:rsidR="00D77F22">
        <w:t xml:space="preserve"> свойст</w:t>
      </w:r>
      <w:r w:rsidR="00B634E3">
        <w:t>в</w:t>
      </w:r>
      <w:r>
        <w:t>а</w:t>
      </w:r>
      <w:r w:rsidR="00B634E3">
        <w:t xml:space="preserve"> (например, ЭПР, спектры УФ-видимой области</w:t>
      </w:r>
      <w:r w:rsidR="00D77F22">
        <w:t>)</w:t>
      </w:r>
      <w:r>
        <w:t>, что необходимо для полной характеризации молекулы</w:t>
      </w:r>
      <w:r w:rsidR="00620682">
        <w:t xml:space="preserve"> </w:t>
      </w:r>
      <w:r w:rsidR="00620682" w:rsidRPr="00620682">
        <w:t>[</w:t>
      </w:r>
      <w:r w:rsidR="0041560E">
        <w:t>7</w:t>
      </w:r>
      <w:r w:rsidR="00620682" w:rsidRPr="00620682">
        <w:t>]</w:t>
      </w:r>
      <w:r w:rsidR="00D77F22">
        <w:t>. В версии 5.0</w:t>
      </w:r>
      <w:r w:rsidR="00B634E3">
        <w:t xml:space="preserve"> были</w:t>
      </w:r>
      <w:r w:rsidR="00D77F22">
        <w:t xml:space="preserve"> добавлены </w:t>
      </w:r>
      <w:r w:rsidR="00B634E3">
        <w:t xml:space="preserve">значительные </w:t>
      </w:r>
      <w:r w:rsidR="00D77F22">
        <w:t>улучшения в скорости</w:t>
      </w:r>
      <w:r w:rsidR="00B634E3">
        <w:t xml:space="preserve"> работы</w:t>
      </w:r>
      <w:r w:rsidR="00D77F22">
        <w:t xml:space="preserve"> и точности, включая новые</w:t>
      </w:r>
      <w:r w:rsidR="00B634E3">
        <w:t xml:space="preserve"> подходы к учету </w:t>
      </w:r>
      <w:r w:rsidR="00D77F22">
        <w:t xml:space="preserve">релятивистских эффектов. </w:t>
      </w:r>
    </w:p>
    <w:p w:rsidR="00BF58E6" w:rsidRDefault="00D77F22" w:rsidP="00370869">
      <w:pPr>
        <w:spacing w:after="0" w:line="360" w:lineRule="auto"/>
        <w:ind w:firstLine="709"/>
        <w:jc w:val="both"/>
      </w:pPr>
      <w:r>
        <w:t>Для малых лекарственных молекул ORCA применяется в</w:t>
      </w:r>
      <w:r w:rsidR="00B634E3">
        <w:t xml:space="preserve"> рамках структурного дизайна лекарств</w:t>
      </w:r>
      <w:r>
        <w:t>, где</w:t>
      </w:r>
      <w:r w:rsidR="00B634E3">
        <w:t xml:space="preserve"> с ее помощью моделируются </w:t>
      </w:r>
      <w:r w:rsidR="00B634E3">
        <w:lastRenderedPageBreak/>
        <w:t>взаимодействия лиганда с белковой мишенью</w:t>
      </w:r>
      <w:r>
        <w:t>, предсказыва</w:t>
      </w:r>
      <w:r w:rsidR="00B634E3">
        <w:t>ются</w:t>
      </w:r>
      <w:r>
        <w:t xml:space="preserve"> энергии связывания и реакционные пути. </w:t>
      </w:r>
      <w:r w:rsidR="00B634E3">
        <w:t>В научной</w:t>
      </w:r>
      <w:r>
        <w:t xml:space="preserve"> литературе описано использование ORCA для параметризации силовых полей малых молекул, что </w:t>
      </w:r>
      <w:r w:rsidR="00B634E3">
        <w:t xml:space="preserve">является </w:t>
      </w:r>
      <w:r>
        <w:t>критич</w:t>
      </w:r>
      <w:r w:rsidR="00B634E3">
        <w:t>ески важным этапом</w:t>
      </w:r>
      <w:r>
        <w:t xml:space="preserve"> для</w:t>
      </w:r>
      <w:r w:rsidR="00B634E3">
        <w:t xml:space="preserve"> последующего моделирования методом</w:t>
      </w:r>
      <w:r>
        <w:t xml:space="preserve"> молекулярной динамики в фарма</w:t>
      </w:r>
      <w:r w:rsidR="00B634E3">
        <w:t>кологии</w:t>
      </w:r>
      <w:r>
        <w:t>. ORCA также</w:t>
      </w:r>
      <w:r w:rsidR="00B634E3">
        <w:t xml:space="preserve"> может быть</w:t>
      </w:r>
      <w:r>
        <w:t xml:space="preserve"> интегрир</w:t>
      </w:r>
      <w:r w:rsidR="00B634E3">
        <w:t>ована</w:t>
      </w:r>
      <w:r>
        <w:t xml:space="preserve"> с WSL для</w:t>
      </w:r>
      <w:r w:rsidR="00B634E3">
        <w:t xml:space="preserve"> работы в среде</w:t>
      </w:r>
      <w:r>
        <w:t xml:space="preserve"> Windows,</w:t>
      </w:r>
      <w:r w:rsidR="00B634E3">
        <w:t xml:space="preserve"> что облегчает</w:t>
      </w:r>
      <w:r>
        <w:t xml:space="preserve"> доступ</w:t>
      </w:r>
      <w:r w:rsidR="00B634E3">
        <w:t xml:space="preserve"> к этому мощному инструменту</w:t>
      </w:r>
      <w:r>
        <w:t xml:space="preserve"> для исследователей</w:t>
      </w:r>
      <w:r w:rsidR="00B634E3">
        <w:t>, не имеющим специализированной</w:t>
      </w:r>
      <w:r>
        <w:t xml:space="preserve"> Linux-инфраструктуры.</w:t>
      </w:r>
    </w:p>
    <w:p w:rsidR="00D77F22" w:rsidRPr="00620682" w:rsidRDefault="00D77F22" w:rsidP="00620682">
      <w:pPr>
        <w:pStyle w:val="2"/>
        <w:numPr>
          <w:ilvl w:val="1"/>
          <w:numId w:val="6"/>
        </w:numPr>
        <w:spacing w:before="0" w:line="360" w:lineRule="auto"/>
        <w:ind w:left="357" w:firstLine="0"/>
        <w:jc w:val="both"/>
        <w:rPr>
          <w:rFonts w:ascii="Times New Roman" w:hAnsi="Times New Roman" w:cs="Times New Roman"/>
          <w:color w:val="000000" w:themeColor="text1"/>
          <w:sz w:val="28"/>
          <w:szCs w:val="28"/>
        </w:rPr>
      </w:pPr>
      <w:bookmarkStart w:id="9" w:name="_Toc215743403"/>
      <w:r w:rsidRPr="00620682">
        <w:rPr>
          <w:rFonts w:ascii="Times New Roman" w:hAnsi="Times New Roman" w:cs="Times New Roman"/>
          <w:color w:val="000000" w:themeColor="text1"/>
          <w:sz w:val="28"/>
          <w:szCs w:val="28"/>
        </w:rPr>
        <w:t>Quantum ESPRESSO</w:t>
      </w:r>
      <w:bookmarkEnd w:id="9"/>
    </w:p>
    <w:p w:rsidR="0045427D" w:rsidRDefault="00BB3121" w:rsidP="0045427D">
      <w:pPr>
        <w:spacing w:after="0" w:line="360" w:lineRule="auto"/>
        <w:ind w:firstLine="709"/>
        <w:jc w:val="both"/>
      </w:pPr>
      <w:r>
        <w:t>Quantum ESPRESSO –</w:t>
      </w:r>
      <w:r w:rsidR="00D77F22">
        <w:t xml:space="preserve"> это открытый </w:t>
      </w:r>
      <w:r w:rsidR="00B634E3">
        <w:t>программный комплекс</w:t>
      </w:r>
      <w:r w:rsidR="00D77F22">
        <w:t xml:space="preserve"> для электронно-структурных расчётов на основе</w:t>
      </w:r>
      <w:r w:rsidR="00B634E3">
        <w:t xml:space="preserve"> теории функционала плотности</w:t>
      </w:r>
      <w:r w:rsidR="00D77F22">
        <w:t xml:space="preserve"> DFT, предназначенный в первую очередь для</w:t>
      </w:r>
      <w:r w:rsidR="00B634E3">
        <w:t xml:space="preserve"> моделирования</w:t>
      </w:r>
      <w:r w:rsidR="00D77F22">
        <w:t xml:space="preserve"> периодических систем, таких как твёрдые тела, но</w:t>
      </w:r>
      <w:r w:rsidR="00B634E3">
        <w:t xml:space="preserve"> также</w:t>
      </w:r>
      <w:r w:rsidR="00D77F22">
        <w:t xml:space="preserve"> адаптируемый для</w:t>
      </w:r>
      <w:r w:rsidR="00B634E3">
        <w:t xml:space="preserve"> расчетов отдельных</w:t>
      </w:r>
      <w:r w:rsidR="00D77F22">
        <w:t xml:space="preserve"> молекул </w:t>
      </w:r>
      <w:r w:rsidR="00B634E3">
        <w:t>путем использования</w:t>
      </w:r>
      <w:r w:rsidR="00D77F22">
        <w:t xml:space="preserve"> суперяче</w:t>
      </w:r>
      <w:r w:rsidR="00B634E3">
        <w:t>ек</w:t>
      </w:r>
      <w:r w:rsidR="00D77F22">
        <w:t xml:space="preserve"> или </w:t>
      </w:r>
      <w:r w:rsidR="00B634E3">
        <w:t>специальных методов для изолированных систем</w:t>
      </w:r>
      <w:r w:rsidR="00D77F22">
        <w:t>. Он использует</w:t>
      </w:r>
      <w:r w:rsidR="00B634E3">
        <w:t xml:space="preserve"> базис плоских волн</w:t>
      </w:r>
      <w:r w:rsidR="00D77F22">
        <w:t xml:space="preserve"> и псевдопотенциалы для моделирования электронных свойств, включая</w:t>
      </w:r>
      <w:r w:rsidR="00B634E3">
        <w:t xml:space="preserve"> проведение расчетов молекулярной динамики</w:t>
      </w:r>
      <w:r w:rsidR="00D77F22">
        <w:t xml:space="preserve"> и </w:t>
      </w:r>
      <w:r w:rsidR="0045427D">
        <w:t>колебательных спектров</w:t>
      </w:r>
      <w:r w:rsidR="00620682">
        <w:t xml:space="preserve"> </w:t>
      </w:r>
      <w:r w:rsidR="00620682" w:rsidRPr="00620682">
        <w:t>[</w:t>
      </w:r>
      <w:r w:rsidR="0041560E">
        <w:t>8</w:t>
      </w:r>
      <w:r w:rsidR="00620682" w:rsidRPr="00620682">
        <w:t>]</w:t>
      </w:r>
      <w:r w:rsidR="00D77F22">
        <w:t>.</w:t>
      </w:r>
    </w:p>
    <w:p w:rsidR="00D77F22" w:rsidRDefault="0045427D" w:rsidP="0045427D">
      <w:pPr>
        <w:spacing w:after="0" w:line="360" w:lineRule="auto"/>
        <w:ind w:firstLine="709"/>
        <w:jc w:val="both"/>
      </w:pPr>
      <w:r>
        <w:t>Применительно к малым</w:t>
      </w:r>
      <w:r w:rsidR="00D77F22">
        <w:t xml:space="preserve"> молекул</w:t>
      </w:r>
      <w:r>
        <w:t>ам</w:t>
      </w:r>
      <w:r w:rsidR="00D77F22">
        <w:t xml:space="preserve"> Quantum ESPRESSO </w:t>
      </w:r>
      <w:r>
        <w:t>может быть использован</w:t>
      </w:r>
      <w:r w:rsidR="00D77F22">
        <w:t xml:space="preserve"> </w:t>
      </w:r>
      <w:r>
        <w:t>для расчёта</w:t>
      </w:r>
      <w:r w:rsidR="00D77F22">
        <w:t xml:space="preserve"> свойств</w:t>
      </w:r>
      <w:r>
        <w:t xml:space="preserve"> в газовой фазе</w:t>
      </w:r>
      <w:r w:rsidR="00D77F22">
        <w:t xml:space="preserve"> или</w:t>
      </w:r>
      <w:r>
        <w:t xml:space="preserve"> моделирования</w:t>
      </w:r>
      <w:r w:rsidR="00D77F22">
        <w:t xml:space="preserve"> взаимодействий с поверхностями (например, в </w:t>
      </w:r>
      <w:r>
        <w:t xml:space="preserve">случае </w:t>
      </w:r>
      <w:r w:rsidR="00D77F22">
        <w:t>наноносителях лекарств). В фармацевтическом контексте он полезен для моделирования биоак</w:t>
      </w:r>
      <w:r>
        <w:t>тивных молекул в кристаллическом</w:t>
      </w:r>
      <w:r w:rsidR="00D77F22">
        <w:t xml:space="preserve"> </w:t>
      </w:r>
      <w:r>
        <w:t>состоянии</w:t>
      </w:r>
      <w:r w:rsidR="00D77F22">
        <w:t>,</w:t>
      </w:r>
      <w:r>
        <w:t xml:space="preserve"> что позволяет предсказывать такие важные параметры, как</w:t>
      </w:r>
      <w:r w:rsidR="00D77F22">
        <w:t xml:space="preserve"> растворимо</w:t>
      </w:r>
      <w:r>
        <w:t>сть и биодоступность. Литературные источники подчёркиваю</w:t>
      </w:r>
      <w:r w:rsidR="00D77F22">
        <w:t>т его роль в</w:t>
      </w:r>
      <w:r>
        <w:t xml:space="preserve"> проведении расчетов ab initio молекулярной динамики</w:t>
      </w:r>
      <w:r w:rsidR="00D77F22">
        <w:t xml:space="preserve"> для малых молекул, таких как антибиотики, где он</w:t>
      </w:r>
      <w:r>
        <w:t xml:space="preserve"> позволяет моделировать поведение молекулы </w:t>
      </w:r>
      <w:r w:rsidR="00D77F22">
        <w:t>в растворителе.</w:t>
      </w:r>
    </w:p>
    <w:p w:rsidR="00D77F22" w:rsidRDefault="00D77F22" w:rsidP="00620682">
      <w:pPr>
        <w:spacing w:after="0"/>
        <w:ind w:firstLine="709"/>
        <w:jc w:val="both"/>
      </w:pPr>
    </w:p>
    <w:p w:rsidR="00D77F22" w:rsidRPr="00620682" w:rsidRDefault="00D77F22" w:rsidP="00620682">
      <w:pPr>
        <w:pStyle w:val="2"/>
        <w:numPr>
          <w:ilvl w:val="1"/>
          <w:numId w:val="6"/>
        </w:numPr>
        <w:spacing w:before="0" w:line="360" w:lineRule="auto"/>
        <w:ind w:left="357" w:firstLine="0"/>
        <w:jc w:val="both"/>
        <w:rPr>
          <w:rFonts w:ascii="Times New Roman" w:hAnsi="Times New Roman" w:cs="Times New Roman"/>
          <w:color w:val="000000" w:themeColor="text1"/>
          <w:sz w:val="28"/>
          <w:szCs w:val="28"/>
        </w:rPr>
      </w:pPr>
      <w:bookmarkStart w:id="10" w:name="_Toc215743404"/>
      <w:r w:rsidRPr="00620682">
        <w:rPr>
          <w:rFonts w:ascii="Times New Roman" w:hAnsi="Times New Roman" w:cs="Times New Roman"/>
          <w:color w:val="000000" w:themeColor="text1"/>
          <w:sz w:val="28"/>
          <w:szCs w:val="28"/>
        </w:rPr>
        <w:lastRenderedPageBreak/>
        <w:t>Применения в дизайне малых лекарственных молекул</w:t>
      </w:r>
      <w:bookmarkEnd w:id="10"/>
    </w:p>
    <w:p w:rsidR="0045427D" w:rsidRDefault="00D77F22" w:rsidP="00620682">
      <w:pPr>
        <w:spacing w:after="0" w:line="360" w:lineRule="auto"/>
        <w:ind w:firstLine="709"/>
        <w:jc w:val="both"/>
      </w:pPr>
      <w:r>
        <w:t xml:space="preserve">В </w:t>
      </w:r>
      <w:r w:rsidR="0045427D">
        <w:t>современных исследованиях</w:t>
      </w:r>
      <w:r>
        <w:t xml:space="preserve"> по дизайну лекарств </w:t>
      </w:r>
      <w:r w:rsidR="0045427D">
        <w:t>рассмотренные</w:t>
      </w:r>
      <w:r>
        <w:t xml:space="preserve"> инструменты часто </w:t>
      </w:r>
      <w:r w:rsidR="0045427D">
        <w:t>объединяются</w:t>
      </w:r>
      <w:r>
        <w:t xml:space="preserve"> в многоуровневые</w:t>
      </w:r>
      <w:r w:rsidR="0045427D">
        <w:t xml:space="preserve"> вычислительные</w:t>
      </w:r>
      <w:r>
        <w:t xml:space="preserve"> </w:t>
      </w:r>
      <w:r w:rsidR="00BB3121">
        <w:t>рабочие процессы</w:t>
      </w:r>
      <w:r>
        <w:t xml:space="preserve">. Например, </w:t>
      </w:r>
      <w:r w:rsidR="0045427D">
        <w:t xml:space="preserve">начальный этап конформационного поиска для потенциального лекарственного соединения может проводиться с помощью </w:t>
      </w:r>
      <w:r>
        <w:t>CREST</w:t>
      </w:r>
      <w:r w:rsidR="0045427D">
        <w:t xml:space="preserve"> в связке</w:t>
      </w:r>
      <w:r>
        <w:t xml:space="preserve"> с xTB</w:t>
      </w:r>
      <w:r w:rsidR="0045427D">
        <w:t xml:space="preserve">, </w:t>
      </w:r>
      <w:r>
        <w:t xml:space="preserve"> </w:t>
      </w:r>
      <w:r w:rsidR="0045427D">
        <w:t>после чего наиболее перспективные структуры уточняются с использованием</w:t>
      </w:r>
      <w:r>
        <w:t xml:space="preserve"> ORCA на уровне</w:t>
      </w:r>
      <w:r w:rsidR="0045427D">
        <w:t xml:space="preserve"> теории</w:t>
      </w:r>
      <w:r>
        <w:t xml:space="preserve"> DFT для</w:t>
      </w:r>
      <w:r w:rsidR="0045427D">
        <w:t xml:space="preserve"> получения</w:t>
      </w:r>
      <w:r>
        <w:t xml:space="preserve"> точных энергий связывания. Quantum ESPRESSO дополняет это расчётами для молекул в конденсированных фазах, например, </w:t>
      </w:r>
      <w:r w:rsidR="0045427D">
        <w:t>при</w:t>
      </w:r>
      <w:r>
        <w:t xml:space="preserve"> моделировании</w:t>
      </w:r>
      <w:r w:rsidR="0045427D">
        <w:t xml:space="preserve"> процессов </w:t>
      </w:r>
      <w:r>
        <w:t xml:space="preserve">доставки лекарств </w:t>
      </w:r>
      <w:r w:rsidR="0045427D">
        <w:t>с использованием углеродных нанотрубок</w:t>
      </w:r>
      <w:r>
        <w:t>.</w:t>
      </w:r>
    </w:p>
    <w:p w:rsidR="00D77F22" w:rsidRPr="001C5646" w:rsidRDefault="00D77F22" w:rsidP="00620682">
      <w:pPr>
        <w:spacing w:after="0" w:line="360" w:lineRule="auto"/>
        <w:ind w:firstLine="709"/>
        <w:jc w:val="both"/>
      </w:pPr>
      <w:r>
        <w:t xml:space="preserve"> Исследования </w:t>
      </w:r>
      <w:r w:rsidR="0045427D">
        <w:t>демонстрируют</w:t>
      </w:r>
      <w:r>
        <w:t xml:space="preserve">, что комбинация CREST и ORCA </w:t>
      </w:r>
      <w:r w:rsidR="0045427D">
        <w:t xml:space="preserve">позволяет </w:t>
      </w:r>
      <w:r>
        <w:t>ускор</w:t>
      </w:r>
      <w:r w:rsidR="0045427D">
        <w:t>ить процесс открытия новых</w:t>
      </w:r>
      <w:r>
        <w:t xml:space="preserve"> ингибиторов</w:t>
      </w:r>
      <w:r w:rsidR="0045427D">
        <w:t>, например, для вируса</w:t>
      </w:r>
      <w:r>
        <w:t xml:space="preserve"> SARS-CoV-2, </w:t>
      </w:r>
      <w:r w:rsidR="0045427D">
        <w:t>обеспечивая предсказание конформаций</w:t>
      </w:r>
      <w:r>
        <w:t xml:space="preserve"> малых молекул с ошибкой менее 1 ккал/моль. </w:t>
      </w:r>
      <w:r w:rsidR="0045427D">
        <w:t xml:space="preserve">Использование </w:t>
      </w:r>
      <w:r>
        <w:t>WSL облегчает</w:t>
      </w:r>
      <w:r w:rsidR="0045427D">
        <w:t xml:space="preserve"> реализацию таких</w:t>
      </w:r>
      <w:r>
        <w:t xml:space="preserve"> </w:t>
      </w:r>
      <w:r w:rsidR="00BB3121">
        <w:t>ра</w:t>
      </w:r>
      <w:r w:rsidR="0045427D">
        <w:t>бочих процессов</w:t>
      </w:r>
      <w:r>
        <w:t xml:space="preserve"> на</w:t>
      </w:r>
      <w:r w:rsidR="0045427D">
        <w:t xml:space="preserve"> стандартных</w:t>
      </w:r>
      <w:r>
        <w:t xml:space="preserve"> </w:t>
      </w:r>
      <w:r w:rsidR="0045427D">
        <w:t>персональных компьютерах</w:t>
      </w:r>
      <w:r>
        <w:t>,</w:t>
      </w:r>
      <w:r w:rsidR="0045427D">
        <w:t xml:space="preserve"> а также их интеграцию с </w:t>
      </w:r>
      <w:r>
        <w:t>моделями</w:t>
      </w:r>
      <w:r w:rsidR="0045427D">
        <w:t xml:space="preserve"> искусственного интеллекта</w:t>
      </w:r>
      <w:r>
        <w:t xml:space="preserve"> для предсказания </w:t>
      </w:r>
      <w:r w:rsidR="0045427D">
        <w:t xml:space="preserve">молекулярных </w:t>
      </w:r>
      <w:r>
        <w:t>свойств</w:t>
      </w:r>
      <w:r w:rsidR="00620682">
        <w:t xml:space="preserve"> </w:t>
      </w:r>
      <w:r w:rsidR="00620682" w:rsidRPr="00620682">
        <w:t>[</w:t>
      </w:r>
      <w:r w:rsidR="0041560E">
        <w:t>9, 10</w:t>
      </w:r>
      <w:r w:rsidR="00620682" w:rsidRPr="00620682">
        <w:t>]</w:t>
      </w:r>
      <w:r>
        <w:t>.</w:t>
      </w:r>
    </w:p>
    <w:p w:rsidR="002F1179" w:rsidRPr="00370869" w:rsidRDefault="00D77F22" w:rsidP="00370869">
      <w:pPr>
        <w:spacing w:after="0" w:line="360" w:lineRule="auto"/>
        <w:ind w:firstLine="709"/>
        <w:jc w:val="both"/>
      </w:pPr>
      <w:r>
        <w:t>ORCA, Quantum ESPRESSO и CREST представляют мощный</w:t>
      </w:r>
      <w:r w:rsidR="00A56E47">
        <w:t xml:space="preserve"> и универсальный инструментарий для решения</w:t>
      </w:r>
      <w:r>
        <w:t xml:space="preserve"> </w:t>
      </w:r>
      <w:r w:rsidR="00A56E47">
        <w:t xml:space="preserve">широкого круга задач </w:t>
      </w:r>
      <w:r>
        <w:t>вычислительной химии,</w:t>
      </w:r>
      <w:r w:rsidR="00A56E47">
        <w:t xml:space="preserve"> имеющих</w:t>
      </w:r>
      <w:r>
        <w:t xml:space="preserve"> особ</w:t>
      </w:r>
      <w:r w:rsidR="00A56E47">
        <w:t xml:space="preserve">ое значение в фармацевтических </w:t>
      </w:r>
      <w:r>
        <w:t xml:space="preserve"> </w:t>
      </w:r>
      <w:r w:rsidR="00A56E47">
        <w:t xml:space="preserve">исследованиях. </w:t>
      </w:r>
      <w:r>
        <w:t>Их комбинация</w:t>
      </w:r>
      <w:r w:rsidR="00A56E47">
        <w:t xml:space="preserve"> между собой, а также с быстрыми полуэмпирическими методами</w:t>
      </w:r>
      <w:r>
        <w:t xml:space="preserve"> </w:t>
      </w:r>
      <w:r w:rsidR="00A56E47">
        <w:t>(</w:t>
      </w:r>
      <w:r>
        <w:t>xTB</w:t>
      </w:r>
      <w:r w:rsidR="00A56E47">
        <w:t xml:space="preserve">) и </w:t>
      </w:r>
      <w:r w:rsidR="00A56E47">
        <w:rPr>
          <w:lang w:val="en-US"/>
        </w:rPr>
        <w:t>WSL</w:t>
      </w:r>
      <w:r>
        <w:t xml:space="preserve"> позволяет проводить эффективные расчёты </w:t>
      </w:r>
      <w:r w:rsidR="00A56E47">
        <w:t xml:space="preserve">для </w:t>
      </w:r>
      <w:r>
        <w:t>малых молекул</w:t>
      </w:r>
      <w:r w:rsidR="00A56E47">
        <w:t xml:space="preserve"> на всех этапах разработки –</w:t>
      </w:r>
      <w:r>
        <w:t xml:space="preserve"> от конформерного </w:t>
      </w:r>
      <w:r w:rsidR="00A56E47">
        <w:t>анализа до моделирования динамики</w:t>
      </w:r>
      <w:r>
        <w:t xml:space="preserve"> </w:t>
      </w:r>
      <w:r w:rsidR="00A56E47">
        <w:t>и спектроскопических свойств</w:t>
      </w:r>
      <w:r>
        <w:t>.</w:t>
      </w:r>
      <w:r w:rsidR="00A56E47">
        <w:t xml:space="preserve"> Это вносит существенный вклад в ускорение процесса разработки новых лекарственных препаратов.</w:t>
      </w:r>
      <w:r>
        <w:t xml:space="preserve"> Дальнейшие исследования</w:t>
      </w:r>
      <w:r w:rsidR="00A56E47">
        <w:t xml:space="preserve"> в этой области целесообразно направить на углубленную интеграцию рассмотренных вычислительных инструментов</w:t>
      </w:r>
      <w:r>
        <w:t xml:space="preserve"> с</w:t>
      </w:r>
      <w:r w:rsidR="00A56E47">
        <w:t xml:space="preserve"> методами машинного обучения</w:t>
      </w:r>
      <w:r>
        <w:t xml:space="preserve"> для</w:t>
      </w:r>
      <w:r w:rsidR="00A56E47">
        <w:t xml:space="preserve"> достижения полной </w:t>
      </w:r>
      <w:r>
        <w:t>автоматизации</w:t>
      </w:r>
      <w:r w:rsidR="00A56E47">
        <w:t xml:space="preserve"> процесса предсказательного молекулярного дизайна</w:t>
      </w:r>
      <w:r>
        <w:t>.</w:t>
      </w:r>
    </w:p>
    <w:p w:rsidR="003C10F9" w:rsidRDefault="003C10F9" w:rsidP="003C10F9">
      <w:pPr>
        <w:pStyle w:val="1"/>
        <w:numPr>
          <w:ilvl w:val="0"/>
          <w:numId w:val="6"/>
        </w:numPr>
        <w:spacing w:before="0" w:line="360" w:lineRule="auto"/>
        <w:jc w:val="both"/>
        <w:rPr>
          <w:rFonts w:ascii="Times New Roman" w:hAnsi="Times New Roman" w:cs="Times New Roman"/>
          <w:color w:val="auto"/>
        </w:rPr>
      </w:pPr>
      <w:bookmarkStart w:id="11" w:name="_Toc215743405"/>
      <w:r w:rsidRPr="003C10F9">
        <w:rPr>
          <w:rFonts w:ascii="Times New Roman" w:hAnsi="Times New Roman" w:cs="Times New Roman"/>
          <w:color w:val="auto"/>
        </w:rPr>
        <w:lastRenderedPageBreak/>
        <w:t>Объекты исследования</w:t>
      </w:r>
      <w:bookmarkEnd w:id="11"/>
    </w:p>
    <w:p w:rsidR="00274536" w:rsidRDefault="003C10F9" w:rsidP="00274536">
      <w:pPr>
        <w:spacing w:after="0" w:line="360" w:lineRule="auto"/>
        <w:ind w:firstLine="709"/>
        <w:jc w:val="both"/>
      </w:pPr>
      <w:r w:rsidRPr="003C10F9">
        <w:t>В качестве объекта для проведения расчетов</w:t>
      </w:r>
      <w:r w:rsidR="00274536">
        <w:t xml:space="preserve"> были выбраны молекулы</w:t>
      </w:r>
      <w:r w:rsidRPr="003C10F9">
        <w:t xml:space="preserve"> суматриптана</w:t>
      </w:r>
      <w:r w:rsidR="00274536">
        <w:t xml:space="preserve"> и протонированного суматриптана</w:t>
      </w:r>
      <w:r w:rsidRPr="003C10F9">
        <w:t xml:space="preserve">. </w:t>
      </w:r>
    </w:p>
    <w:p w:rsidR="00274536" w:rsidRDefault="00274536" w:rsidP="00800DA5">
      <w:pPr>
        <w:spacing w:after="0" w:line="360" w:lineRule="auto"/>
        <w:ind w:firstLine="709"/>
        <w:jc w:val="both"/>
      </w:pPr>
      <w:r>
        <w:t xml:space="preserve">Молекулярная формула суматриптана – </w:t>
      </w:r>
      <m:oMath>
        <m:sSub>
          <m:sSubPr>
            <m:ctrlPr>
              <w:rPr>
                <w:rFonts w:ascii="Cambria Math" w:hAnsi="Cambria Math"/>
                <w:i/>
              </w:rPr>
            </m:ctrlPr>
          </m:sSubPr>
          <m:e>
            <m:r>
              <w:rPr>
                <w:rFonts w:ascii="Cambria Math" w:hAnsi="Cambria Math"/>
                <w:lang w:val="en-US"/>
              </w:rPr>
              <m:t>C</m:t>
            </m:r>
          </m:e>
          <m:sub>
            <m:r>
              <w:rPr>
                <w:rFonts w:ascii="Cambria Math" w:hAnsi="Cambria Math"/>
              </w:rPr>
              <m:t>14</m:t>
            </m:r>
          </m:sub>
        </m:sSub>
        <m:sSub>
          <m:sSubPr>
            <m:ctrlPr>
              <w:rPr>
                <w:rFonts w:ascii="Cambria Math" w:hAnsi="Cambria Math"/>
                <w:i/>
              </w:rPr>
            </m:ctrlPr>
          </m:sSubPr>
          <m:e>
            <m:r>
              <w:rPr>
                <w:rFonts w:ascii="Cambria Math" w:hAnsi="Cambria Math"/>
              </w:rPr>
              <m:t>H</m:t>
            </m:r>
          </m:e>
          <m:sub>
            <m:r>
              <w:rPr>
                <w:rFonts w:ascii="Cambria Math" w:hAnsi="Cambria Math"/>
              </w:rPr>
              <m:t>21</m:t>
            </m:r>
          </m:sub>
        </m:sSub>
        <m:sSub>
          <m:sSubPr>
            <m:ctrlPr>
              <w:rPr>
                <w:rFonts w:ascii="Cambria Math" w:hAnsi="Cambria Math"/>
                <w:i/>
              </w:rPr>
            </m:ctrlPr>
          </m:sSubPr>
          <m:e>
            <m:r>
              <w:rPr>
                <w:rFonts w:ascii="Cambria Math" w:hAnsi="Cambria Math"/>
              </w:rPr>
              <m:t>N</m:t>
            </m:r>
          </m:e>
          <m:sub>
            <m:r>
              <w:rPr>
                <w:rFonts w:ascii="Cambria Math" w:hAnsi="Cambria Math"/>
              </w:rPr>
              <m:t>3</m:t>
            </m:r>
          </m:sub>
        </m:sSub>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S</m:t>
        </m:r>
      </m:oMath>
      <w:r>
        <w:t xml:space="preserve">, и его химическое название – </w:t>
      </w:r>
      <w:r w:rsidRPr="00274536">
        <w:t>1-</w:t>
      </w:r>
      <w:r w:rsidRPr="00800DA5">
        <w:t>[</w:t>
      </w:r>
      <w:r w:rsidR="00800DA5">
        <w:t>3-[2-(диметиламино)этил]</w:t>
      </w:r>
      <w:r>
        <w:t>-1H-индол-5-</w:t>
      </w:r>
      <w:r w:rsidR="00800DA5">
        <w:t>ил</w:t>
      </w:r>
      <w:r w:rsidR="00800DA5" w:rsidRPr="00800DA5">
        <w:t>]-</w:t>
      </w:r>
      <w:r w:rsidR="00800DA5">
        <w:rPr>
          <w:lang w:val="en-US"/>
        </w:rPr>
        <w:t>N</w:t>
      </w:r>
      <w:r w:rsidR="00800DA5" w:rsidRPr="00800DA5">
        <w:t>-</w:t>
      </w:r>
      <w:r w:rsidR="00800DA5">
        <w:t>метил</w:t>
      </w:r>
      <w:r>
        <w:t>метансульфонамид. Это лекарственное средство из класса триптанов, обладающее специфическим противомигренозным действием. Молекула суматриптана характеризуется наличием индольного гетероцикла (несущего метансульфонамидную группу), который через этильный линкер соединен с диметиламиногруппой.</w:t>
      </w:r>
    </w:p>
    <w:p w:rsidR="00274536" w:rsidRPr="0041560E" w:rsidRDefault="00274536" w:rsidP="00E532B9">
      <w:pPr>
        <w:spacing w:after="0" w:line="360" w:lineRule="auto"/>
        <w:ind w:firstLine="709"/>
        <w:jc w:val="both"/>
      </w:pPr>
      <w:r>
        <w:t>Такая пространственная конфигурация придает молекуле суматриптана характерную геометрию, которая является ключевой для его фармакологических свойств. Благодаря своей структуре, суматриптан действует как селективный агонист серотониновых рецепторов 5-</w:t>
      </w:r>
      <m:oMath>
        <m:sSub>
          <m:sSubPr>
            <m:ctrlPr>
              <w:rPr>
                <w:rFonts w:ascii="Cambria Math" w:hAnsi="Cambria Math"/>
                <w:i/>
              </w:rPr>
            </m:ctrlPr>
          </m:sSubPr>
          <m:e>
            <m:r>
              <w:rPr>
                <w:rFonts w:ascii="Cambria Math" w:hAnsi="Cambria Math"/>
              </w:rPr>
              <m:t>HT</m:t>
            </m:r>
          </m:e>
          <m:sub>
            <m:r>
              <w:rPr>
                <w:rFonts w:ascii="Cambria Math" w:hAnsi="Cambria Math"/>
              </w:rPr>
              <m:t>1</m:t>
            </m:r>
            <m:r>
              <w:rPr>
                <w:rFonts w:ascii="Cambria Math" w:hAnsi="Cambria Math"/>
                <w:lang w:val="en-US"/>
              </w:rPr>
              <m:t>B</m:t>
            </m:r>
            <m:r>
              <w:rPr>
                <w:rFonts w:ascii="Cambria Math" w:hAnsi="Cambria Math"/>
              </w:rPr>
              <m:t>/1</m:t>
            </m:r>
            <m:r>
              <w:rPr>
                <w:rFonts w:ascii="Cambria Math" w:hAnsi="Cambria Math"/>
                <w:lang w:val="en-US"/>
              </w:rPr>
              <m:t>D</m:t>
            </m:r>
          </m:sub>
        </m:sSub>
      </m:oMath>
      <w:r>
        <w:t>. Это вызывает сужение расширенных во время мигрени сосудов головного мозга и подавляет высвобождение пр</w:t>
      </w:r>
      <w:r w:rsidR="00E532B9">
        <w:t>овоспалительных нейропептидов [</w:t>
      </w:r>
      <w:r w:rsidR="0041560E">
        <w:t>11</w:t>
      </w:r>
      <w:r>
        <w:t>].</w:t>
      </w:r>
    </w:p>
    <w:p w:rsidR="00274536" w:rsidRPr="002B3F31" w:rsidRDefault="00274536" w:rsidP="00E532B9">
      <w:pPr>
        <w:spacing w:after="0" w:line="360" w:lineRule="auto"/>
        <w:ind w:firstLine="709"/>
        <w:jc w:val="both"/>
      </w:pPr>
      <w:r>
        <w:t>В физиологических условиях атом азота в диметиламиногруппе протонируется, образуя соль суматриптана (например, суматриптан сукцинат или суматриптан протонированный). Это повышает растворимость молекулы в воде и улучшает ее биодоступность. Протонированная форма является активной и взаимодействует с рецепторами</w:t>
      </w:r>
      <w:r w:rsidR="00B67254" w:rsidRPr="002B3F31">
        <w:t xml:space="preserve"> [</w:t>
      </w:r>
      <w:r w:rsidR="0041560E">
        <w:t>12</w:t>
      </w:r>
      <w:r w:rsidR="00B67254" w:rsidRPr="002B3F31">
        <w:t>]</w:t>
      </w:r>
      <w:r>
        <w:t>.</w:t>
      </w:r>
    </w:p>
    <w:p w:rsidR="002B3F31" w:rsidRPr="002B3F31" w:rsidRDefault="00274536" w:rsidP="002B3F31">
      <w:pPr>
        <w:spacing w:after="0" w:line="360" w:lineRule="auto"/>
        <w:ind w:firstLine="709"/>
        <w:jc w:val="both"/>
      </w:pPr>
      <w:r>
        <w:t xml:space="preserve">Химическая структура суматриптана </w:t>
      </w:r>
      <w:r w:rsidR="002B3F31">
        <w:t>показана на Рисунке 2</w:t>
      </w:r>
      <w:r>
        <w:t>.</w:t>
      </w:r>
    </w:p>
    <w:p w:rsidR="008508FA" w:rsidRDefault="008508FA" w:rsidP="008508FA">
      <w:pPr>
        <w:spacing w:after="0" w:line="360" w:lineRule="auto"/>
        <w:jc w:val="center"/>
        <w:rPr>
          <w:lang w:val="en-US"/>
        </w:rPr>
      </w:pPr>
      <w:r>
        <w:rPr>
          <w:noProof/>
          <w:lang w:eastAsia="ru-RU"/>
        </w:rPr>
        <w:drawing>
          <wp:inline distT="0" distB="0" distL="0" distR="0">
            <wp:extent cx="3047134" cy="1690416"/>
            <wp:effectExtent l="19050" t="0" r="866" b="0"/>
            <wp:docPr id="5" name="Рисунок 4" descr="Sumatrip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atriptan.png"/>
                    <pic:cNvPicPr/>
                  </pic:nvPicPr>
                  <pic:blipFill>
                    <a:blip r:embed="rId10"/>
                    <a:srcRect t="22560" b="21920"/>
                    <a:stretch>
                      <a:fillRect/>
                    </a:stretch>
                  </pic:blipFill>
                  <pic:spPr>
                    <a:xfrm>
                      <a:off x="0" y="0"/>
                      <a:ext cx="3051708" cy="1692953"/>
                    </a:xfrm>
                    <a:prstGeom prst="rect">
                      <a:avLst/>
                    </a:prstGeom>
                  </pic:spPr>
                </pic:pic>
              </a:graphicData>
            </a:graphic>
          </wp:inline>
        </w:drawing>
      </w:r>
    </w:p>
    <w:p w:rsidR="003C10F9" w:rsidRPr="008508FA" w:rsidRDefault="002B3F31" w:rsidP="008508FA">
      <w:pPr>
        <w:spacing w:after="0" w:line="360" w:lineRule="auto"/>
        <w:jc w:val="center"/>
      </w:pPr>
      <w:r>
        <w:t>Рисунок 2</w:t>
      </w:r>
      <w:r w:rsidR="008508FA">
        <w:t xml:space="preserve"> – Химическая структура суматриптана </w:t>
      </w:r>
      <w:r w:rsidR="008508FA">
        <w:rPr>
          <w:lang w:val="en-US"/>
        </w:rPr>
        <w:t>[</w:t>
      </w:r>
      <w:r w:rsidR="0041560E">
        <w:t>13</w:t>
      </w:r>
      <w:r w:rsidR="008508FA">
        <w:rPr>
          <w:lang w:val="en-US"/>
        </w:rPr>
        <w:t>]</w:t>
      </w:r>
      <w:r w:rsidR="003C10F9" w:rsidRPr="003C10F9">
        <w:br/>
      </w:r>
      <w:r w:rsidR="003C10F9" w:rsidRPr="003C10F9">
        <w:br w:type="page"/>
      </w:r>
    </w:p>
    <w:p w:rsidR="00284C46" w:rsidRDefault="004025E3" w:rsidP="00284C46">
      <w:pPr>
        <w:pStyle w:val="1"/>
        <w:numPr>
          <w:ilvl w:val="0"/>
          <w:numId w:val="6"/>
        </w:numPr>
        <w:spacing w:before="0" w:line="360" w:lineRule="auto"/>
        <w:ind w:left="0" w:firstLine="709"/>
        <w:jc w:val="both"/>
        <w:rPr>
          <w:rFonts w:ascii="Times New Roman" w:hAnsi="Times New Roman" w:cs="Times New Roman"/>
          <w:color w:val="000000" w:themeColor="text1"/>
        </w:rPr>
      </w:pPr>
      <w:bookmarkStart w:id="12" w:name="_Toc215743406"/>
      <w:r w:rsidRPr="004025E3">
        <w:rPr>
          <w:rFonts w:ascii="Times New Roman" w:hAnsi="Times New Roman" w:cs="Times New Roman"/>
          <w:color w:val="000000" w:themeColor="text1"/>
        </w:rPr>
        <w:lastRenderedPageBreak/>
        <w:t>Результаты</w:t>
      </w:r>
      <w:bookmarkEnd w:id="12"/>
    </w:p>
    <w:p w:rsidR="0003132A" w:rsidRDefault="000E2856" w:rsidP="00370869">
      <w:pPr>
        <w:spacing w:after="0" w:line="360" w:lineRule="auto"/>
        <w:ind w:firstLine="709"/>
        <w:jc w:val="both"/>
      </w:pPr>
      <w:r>
        <w:t>В рамках данной работы был выполнен комплекс расчетов для моделирования структуры и свойств малой лекарственной молекулы на примере суматриптана</w:t>
      </w:r>
      <w:r w:rsidR="00EF28D2">
        <w:t xml:space="preserve"> и</w:t>
      </w:r>
      <w:r w:rsidR="00B31408">
        <w:t xml:space="preserve"> ее физиологически релевантной протонированной формы</w:t>
      </w:r>
      <w:r w:rsidR="00EF28D2">
        <w:t xml:space="preserve"> – представителей</w:t>
      </w:r>
      <w:r>
        <w:t xml:space="preserve"> класса триптанов, используемого для лечения мигрени. Исследование проводилось в два основных этапа: 1) конформационный поиск и анализ ансамбля конформеров в </w:t>
      </w:r>
      <w:r w:rsidR="00B31408">
        <w:t>газовой среде</w:t>
      </w:r>
      <w:r>
        <w:t xml:space="preserve"> с использованием программы CREST; 2) уточнение геометрии и расчет колебательных спектров для наиболее стабильных структур с помощью квантово-химического пакета ORCA.</w:t>
      </w:r>
    </w:p>
    <w:p w:rsidR="000E2856" w:rsidRPr="0003132A" w:rsidRDefault="0003132A" w:rsidP="0003132A">
      <w:pPr>
        <w:pStyle w:val="2"/>
        <w:spacing w:before="0" w:line="360" w:lineRule="auto"/>
        <w:ind w:firstLine="709"/>
        <w:jc w:val="both"/>
        <w:rPr>
          <w:rFonts w:ascii="Times New Roman" w:hAnsi="Times New Roman" w:cs="Times New Roman"/>
          <w:color w:val="auto"/>
          <w:sz w:val="28"/>
          <w:szCs w:val="28"/>
        </w:rPr>
      </w:pPr>
      <w:bookmarkStart w:id="13" w:name="_Toc215743407"/>
      <w:r w:rsidRPr="0003132A">
        <w:rPr>
          <w:rFonts w:ascii="Times New Roman" w:hAnsi="Times New Roman" w:cs="Times New Roman"/>
          <w:color w:val="auto"/>
          <w:sz w:val="28"/>
          <w:szCs w:val="28"/>
        </w:rPr>
        <w:t>4.</w:t>
      </w:r>
      <w:r w:rsidR="000E2856" w:rsidRPr="0003132A">
        <w:rPr>
          <w:rFonts w:ascii="Times New Roman" w:hAnsi="Times New Roman" w:cs="Times New Roman"/>
          <w:color w:val="auto"/>
          <w:sz w:val="28"/>
          <w:szCs w:val="28"/>
        </w:rPr>
        <w:t>1. Конформационный анализ с использованием CREST</w:t>
      </w:r>
      <w:bookmarkEnd w:id="13"/>
    </w:p>
    <w:p w:rsidR="000E2856" w:rsidRDefault="000E2856" w:rsidP="000E2856">
      <w:pPr>
        <w:spacing w:after="0" w:line="360" w:lineRule="auto"/>
        <w:ind w:firstLine="709"/>
        <w:jc w:val="both"/>
      </w:pPr>
      <w:r>
        <w:t>Первым этапом работы был конформационный поиск для молекулы суматриптана</w:t>
      </w:r>
      <w:r w:rsidR="00B31408">
        <w:t xml:space="preserve"> и ее протонированной формы</w:t>
      </w:r>
      <w:r>
        <w:t>. Расчет проводился с помощ</w:t>
      </w:r>
      <w:r w:rsidR="0003132A">
        <w:t>ью программы CREST</w:t>
      </w:r>
      <w:r>
        <w:t>, использующей полуэмпирический метод GFN2-xTB в качестве вычислительного ядра. Ключевой особенностью CREST является применение метадинамики (iMTD) для эффективного преодоления энергетических барьеров и нахождения как глобального, так и локальных минимумов на поверхности потенциальной энергии.</w:t>
      </w:r>
    </w:p>
    <w:p w:rsidR="00E57156" w:rsidRDefault="00E57156" w:rsidP="00E57156">
      <w:pPr>
        <w:spacing w:after="0" w:line="360" w:lineRule="auto"/>
        <w:ind w:firstLine="709"/>
        <w:jc w:val="both"/>
      </w:pPr>
      <w:r>
        <w:t xml:space="preserve">После проведения конформационного поиска с помощью </w:t>
      </w:r>
      <w:r>
        <w:rPr>
          <w:lang w:val="en-US"/>
        </w:rPr>
        <w:t>CREST</w:t>
      </w:r>
      <w:r>
        <w:t xml:space="preserve"> для обеих форм суматриптана – нейтральной и протонированной – были получены наборы наиболее стабильных конформеров. Для каждой формы программа </w:t>
      </w:r>
      <w:r>
        <w:rPr>
          <w:lang w:val="en-US"/>
        </w:rPr>
        <w:t>CREST</w:t>
      </w:r>
      <w:r>
        <w:t xml:space="preserve"> автоматически сохранила структуры с наименьшей энергией в файлы. Анализ этих файлов позволил определить глобальные минимумы на поверхностях потенциальной энергии для обеих форм</w:t>
      </w:r>
      <w:r w:rsidR="00DF024A">
        <w:t xml:space="preserve">. </w:t>
      </w:r>
    </w:p>
    <w:p w:rsidR="00DF024A" w:rsidRDefault="00DF024A" w:rsidP="00E57156">
      <w:pPr>
        <w:spacing w:after="0" w:line="360" w:lineRule="auto"/>
        <w:ind w:firstLine="709"/>
        <w:jc w:val="both"/>
      </w:pPr>
      <w:r>
        <w:t>Для нейтральной формы суматриптана ана</w:t>
      </w:r>
      <w:r w:rsidR="00B47967">
        <w:t>лиз стабильного конформера показ</w:t>
      </w:r>
      <w:r>
        <w:t>ал, что глобальный минимум соответствует конформации, в которой этиламиновый фрагмент (</w:t>
      </w:r>
      <w:r w:rsidRPr="004B5115">
        <w:rPr>
          <w:i/>
        </w:rPr>
        <w:t>-</w:t>
      </w:r>
      <m:oMath>
        <m:sSub>
          <m:sSubPr>
            <m:ctrlPr>
              <w:rPr>
                <w:rFonts w:ascii="Cambria Math" w:hAnsi="Cambria Math"/>
                <w:i/>
                <w:lang w:val="en-US"/>
              </w:rPr>
            </m:ctrlPr>
          </m:sSubPr>
          <m:e>
            <m:r>
              <w:rPr>
                <w:rFonts w:ascii="Cambria Math" w:hAnsi="Cambria Math"/>
                <w:lang w:val="en-US"/>
              </w:rPr>
              <m:t>CH</m:t>
            </m:r>
          </m:e>
          <m:sub>
            <m:r>
              <w:rPr>
                <w:rFonts w:ascii="Cambria Math" w:hAnsi="Cambria Math"/>
              </w:rPr>
              <m:t>2</m:t>
            </m:r>
          </m:sub>
        </m:sSub>
      </m:oMath>
      <w:r w:rsidRPr="004B5115">
        <w:rPr>
          <w:i/>
        </w:rPr>
        <w:t>-</w:t>
      </w:r>
      <m:oMath>
        <m:sSub>
          <m:sSubPr>
            <m:ctrlPr>
              <w:rPr>
                <w:rFonts w:ascii="Cambria Math" w:hAnsi="Cambria Math"/>
                <w:i/>
                <w:lang w:val="en-US"/>
              </w:rPr>
            </m:ctrlPr>
          </m:sSubPr>
          <m:e>
            <m:r>
              <w:rPr>
                <w:rFonts w:ascii="Cambria Math" w:hAnsi="Cambria Math"/>
                <w:lang w:val="en-US"/>
              </w:rPr>
              <m:t>CH</m:t>
            </m:r>
          </m:e>
          <m:sub>
            <m:r>
              <w:rPr>
                <w:rFonts w:ascii="Cambria Math" w:hAnsi="Cambria Math"/>
              </w:rPr>
              <m:t>2</m:t>
            </m:r>
          </m:sub>
        </m:sSub>
      </m:oMath>
      <w:r w:rsidRPr="004B5115">
        <w:rPr>
          <w:rFonts w:eastAsiaTheme="minorEastAsia"/>
          <w:i/>
        </w:rPr>
        <w:t>-</w:t>
      </w:r>
      <w:r w:rsidRPr="004B5115">
        <w:rPr>
          <w:rFonts w:eastAsiaTheme="minorEastAsia"/>
          <w:i/>
          <w:lang w:val="en-US"/>
        </w:rPr>
        <w:t>NH</w:t>
      </w:r>
      <w:r w:rsidRPr="004B5115">
        <w:rPr>
          <w:i/>
        </w:rPr>
        <w:t>-</w:t>
      </w:r>
      <m:oMath>
        <m:sSub>
          <m:sSubPr>
            <m:ctrlPr>
              <w:rPr>
                <w:rFonts w:ascii="Cambria Math" w:hAnsi="Cambria Math"/>
                <w:i/>
                <w:lang w:val="en-US"/>
              </w:rPr>
            </m:ctrlPr>
          </m:sSubPr>
          <m:e>
            <m:r>
              <w:rPr>
                <w:rFonts w:ascii="Cambria Math" w:hAnsi="Cambria Math"/>
                <w:lang w:val="en-US"/>
              </w:rPr>
              <m:t>CH</m:t>
            </m:r>
          </m:e>
          <m:sub>
            <m:r>
              <w:rPr>
                <w:rFonts w:ascii="Cambria Math" w:hAnsi="Cambria Math"/>
              </w:rPr>
              <m:t>3</m:t>
            </m:r>
          </m:sub>
        </m:sSub>
      </m:oMath>
      <w:r>
        <w:t xml:space="preserve">) находится в анти-конформации относительно индольного ядра с диэдральным углом </w:t>
      </w:r>
      <w:r w:rsidRPr="00DF024A">
        <w:rPr>
          <w:i/>
          <w:lang w:val="en-US"/>
        </w:rPr>
        <w:t>C</w:t>
      </w:r>
      <w:r w:rsidRPr="00DF024A">
        <w:rPr>
          <w:i/>
        </w:rPr>
        <w:t>-</w:t>
      </w:r>
      <w:r w:rsidRPr="00DF024A">
        <w:rPr>
          <w:i/>
          <w:lang w:val="en-US"/>
        </w:rPr>
        <w:t>C</w:t>
      </w:r>
      <w:r w:rsidRPr="00DF024A">
        <w:rPr>
          <w:i/>
        </w:rPr>
        <w:t>-</w:t>
      </w:r>
      <w:r w:rsidRPr="00DF024A">
        <w:rPr>
          <w:i/>
          <w:lang w:val="en-US"/>
        </w:rPr>
        <w:t>N</w:t>
      </w:r>
      <w:r w:rsidRPr="00DF024A">
        <w:rPr>
          <w:i/>
        </w:rPr>
        <w:t>-</w:t>
      </w:r>
      <w:r w:rsidRPr="00DF024A">
        <w:rPr>
          <w:i/>
          <w:lang w:val="en-US"/>
        </w:rPr>
        <w:t>C</w:t>
      </w:r>
      <w:r w:rsidRPr="00DF024A">
        <w:t xml:space="preserve"> = 178,2</w:t>
      </w:r>
      <w:r>
        <w:sym w:font="Symbol" w:char="F0B0"/>
      </w:r>
      <w:r w:rsidRPr="00DF024A">
        <w:t xml:space="preserve">. </w:t>
      </w:r>
      <w:r>
        <w:t xml:space="preserve">Сульфонамидная группа ориентирована таким образом, что атомы кислорода </w:t>
      </w:r>
      <w:r>
        <w:lastRenderedPageBreak/>
        <w:t xml:space="preserve">располагаются перпендикулярно плоскости индольного кольца. Расстояние между атомом азота аминогруппы и атомом азота индольного ядра составляет 5,32 </w:t>
      </w:r>
      <w:r>
        <w:rPr>
          <w:rFonts w:cs="Times New Roman"/>
        </w:rPr>
        <w:t>Å</w:t>
      </w:r>
      <w:r>
        <w:t xml:space="preserve">. </w:t>
      </w:r>
      <w:r w:rsidR="0039490B">
        <w:t>Относительная энергия в газовой фазе составляет -60,8521 атомных единиц</w:t>
      </w:r>
      <w:r w:rsidR="002B3F31">
        <w:t xml:space="preserve"> (рис. 3)</w:t>
      </w:r>
      <w:r w:rsidR="0039490B">
        <w:t>.</w:t>
      </w:r>
    </w:p>
    <w:p w:rsidR="002B3F31" w:rsidRDefault="002B3F31" w:rsidP="002B3F31">
      <w:pPr>
        <w:spacing w:after="0"/>
        <w:ind w:firstLine="709"/>
        <w:jc w:val="both"/>
      </w:pPr>
    </w:p>
    <w:p w:rsidR="0039490B" w:rsidRDefault="00B47967" w:rsidP="002B3F31">
      <w:pPr>
        <w:spacing w:after="0" w:line="360" w:lineRule="auto"/>
        <w:jc w:val="center"/>
      </w:pPr>
      <w:r>
        <w:rPr>
          <w:noProof/>
          <w:lang w:eastAsia="ru-RU"/>
        </w:rPr>
        <w:drawing>
          <wp:inline distT="0" distB="0" distL="0" distR="0">
            <wp:extent cx="3402330" cy="3379026"/>
            <wp:effectExtent l="19050" t="0" r="762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402330" cy="3379026"/>
                    </a:xfrm>
                    <a:prstGeom prst="rect">
                      <a:avLst/>
                    </a:prstGeom>
                    <a:noFill/>
                    <a:ln w="9525">
                      <a:noFill/>
                      <a:miter lim="800000"/>
                      <a:headEnd/>
                      <a:tailEnd/>
                    </a:ln>
                  </pic:spPr>
                </pic:pic>
              </a:graphicData>
            </a:graphic>
          </wp:inline>
        </w:drawing>
      </w:r>
    </w:p>
    <w:p w:rsidR="00B47967" w:rsidRDefault="002B3F31" w:rsidP="002B3F31">
      <w:pPr>
        <w:spacing w:after="0"/>
        <w:jc w:val="center"/>
      </w:pPr>
      <w:r>
        <w:t>Рисунок 3</w:t>
      </w:r>
      <w:r w:rsidR="00B47967">
        <w:t xml:space="preserve"> – Оптимальная конформация нейтральной формы суматриптана. Розовые шары обозначают атомы углерода, голубые – водород, оранжевые – азот, красные – кислород, желтый – сера</w:t>
      </w:r>
    </w:p>
    <w:p w:rsidR="002B3F31" w:rsidRDefault="002B3F31" w:rsidP="002B3F31">
      <w:pPr>
        <w:spacing w:after="0"/>
        <w:jc w:val="center"/>
      </w:pPr>
    </w:p>
    <w:p w:rsidR="00B47967" w:rsidRPr="00A515D6" w:rsidRDefault="00B47967" w:rsidP="00B47967">
      <w:pPr>
        <w:spacing w:after="0" w:line="360" w:lineRule="auto"/>
        <w:jc w:val="both"/>
        <w:rPr>
          <w:rFonts w:eastAsiaTheme="minorEastAsia"/>
        </w:rPr>
      </w:pPr>
      <w:r>
        <w:tab/>
        <w:t xml:space="preserve">Для протонированной формы суматриптана (суматриптан-катион) анализ стабильного конформера выявил существенные структурные изменения по сравнению с нейтральной формой: протонирование атома азота аминогруппы приводит к образованию катионного центра с положительным зарядом, переход </w:t>
      </w:r>
      <w:r w:rsidR="00A515D6">
        <w:t xml:space="preserve">из анти- в гош-конформацию с диэдральным углом </w:t>
      </w:r>
      <w:r w:rsidR="00A515D6" w:rsidRPr="00A515D6">
        <w:rPr>
          <w:i/>
          <w:lang w:val="en-US"/>
        </w:rPr>
        <w:t>C</w:t>
      </w:r>
      <w:r w:rsidR="00A515D6" w:rsidRPr="00A515D6">
        <w:rPr>
          <w:i/>
        </w:rPr>
        <w:t>-</w:t>
      </w:r>
      <w:r w:rsidR="00A515D6" w:rsidRPr="00A515D6">
        <w:rPr>
          <w:i/>
          <w:lang w:val="en-US"/>
        </w:rPr>
        <w:t>C</w:t>
      </w:r>
      <w:r w:rsidR="00A515D6" w:rsidRPr="00A515D6">
        <w:rPr>
          <w:i/>
        </w:rPr>
        <w:t>-</w:t>
      </w:r>
      <w:r w:rsidR="00A515D6" w:rsidRPr="00A515D6">
        <w:rPr>
          <w:i/>
          <w:lang w:val="en-US"/>
        </w:rPr>
        <w:t>N</w:t>
      </w:r>
      <w:r w:rsidR="00A515D6" w:rsidRPr="00A515D6">
        <w:rPr>
          <w:i/>
        </w:rPr>
        <w:t>-</w:t>
      </w:r>
      <w:r w:rsidR="00A515D6" w:rsidRPr="00A515D6">
        <w:rPr>
          <w:i/>
          <w:lang w:val="en-US"/>
        </w:rPr>
        <w:t>C</w:t>
      </w:r>
      <w:r w:rsidR="00A515D6" w:rsidRPr="00A515D6">
        <w:t xml:space="preserve"> = </w:t>
      </w:r>
      <w:r w:rsidR="00A515D6">
        <w:t>62,5</w:t>
      </w:r>
      <w:r w:rsidR="00A515D6">
        <w:sym w:font="Symbol" w:char="F0B0"/>
      </w:r>
      <w:r w:rsidR="00A515D6">
        <w:t xml:space="preserve">, образование внутримолекулярной водородной связи между протонированным азотом и кислородом сульфонамидной группы </w:t>
      </w:r>
      <m:oMath>
        <m:sSup>
          <m:sSupPr>
            <m:ctrlPr>
              <w:rPr>
                <w:rFonts w:ascii="Cambria Math" w:hAnsi="Cambria Math"/>
                <w:i/>
              </w:rPr>
            </m:ctrlPr>
          </m:sSupPr>
          <m:e>
            <m:r>
              <w:rPr>
                <w:rFonts w:ascii="Cambria Math" w:hAnsi="Cambria Math"/>
                <w:lang w:val="en-US"/>
              </w:rPr>
              <m:t>N</m:t>
            </m:r>
          </m:e>
          <m:sup>
            <m:r>
              <w:rPr>
                <w:rFonts w:ascii="Cambria Math" w:hAnsi="Cambria Math"/>
              </w:rPr>
              <m:t>+</m:t>
            </m:r>
          </m:sup>
        </m:sSup>
      </m:oMath>
      <w:r w:rsidR="00A515D6" w:rsidRPr="00A515D6">
        <w:rPr>
          <w:rFonts w:eastAsiaTheme="minorEastAsia"/>
          <w:i/>
        </w:rPr>
        <w:t>-</w:t>
      </w:r>
      <w:r w:rsidR="00A515D6" w:rsidRPr="00A515D6">
        <w:rPr>
          <w:rFonts w:eastAsiaTheme="minorEastAsia"/>
          <w:i/>
          <w:lang w:val="en-US"/>
        </w:rPr>
        <w:t>H</w:t>
      </w:r>
      <w:r w:rsidR="00A515D6" w:rsidRPr="00A515D6">
        <w:rPr>
          <w:rFonts w:eastAsiaTheme="minorEastAsia"/>
          <w:i/>
          <w:lang w:val="en-US"/>
        </w:rPr>
        <w:sym w:font="Symbol" w:char="F0D7"/>
      </w:r>
      <w:r w:rsidR="00A515D6" w:rsidRPr="00A515D6">
        <w:rPr>
          <w:rFonts w:eastAsiaTheme="minorEastAsia"/>
          <w:i/>
          <w:lang w:val="en-US"/>
        </w:rPr>
        <w:sym w:font="Symbol" w:char="F0D7"/>
      </w:r>
      <w:r w:rsidR="00A515D6" w:rsidRPr="00A515D6">
        <w:rPr>
          <w:rFonts w:eastAsiaTheme="minorEastAsia"/>
          <w:i/>
          <w:lang w:val="en-US"/>
        </w:rPr>
        <w:sym w:font="Symbol" w:char="F0D7"/>
      </w:r>
      <w:r w:rsidR="00A515D6" w:rsidRPr="00A515D6">
        <w:rPr>
          <w:rFonts w:eastAsiaTheme="minorEastAsia"/>
          <w:i/>
          <w:lang w:val="en-US"/>
        </w:rPr>
        <w:t>O</w:t>
      </w:r>
      <w:r w:rsidR="00A515D6" w:rsidRPr="00A515D6">
        <w:rPr>
          <w:rFonts w:eastAsiaTheme="minorEastAsia"/>
        </w:rPr>
        <w:t xml:space="preserve"> = 2,15</w:t>
      </w:r>
      <w:r w:rsidR="00A515D6">
        <w:rPr>
          <w:rFonts w:eastAsiaTheme="minorEastAsia"/>
        </w:rPr>
        <w:t xml:space="preserve"> </w:t>
      </w:r>
      <w:r w:rsidR="00A515D6">
        <w:rPr>
          <w:rFonts w:eastAsiaTheme="minorEastAsia" w:cs="Times New Roman"/>
        </w:rPr>
        <w:t>Å</w:t>
      </w:r>
      <w:r w:rsidR="00A515D6">
        <w:rPr>
          <w:rFonts w:eastAsiaTheme="minorEastAsia"/>
        </w:rPr>
        <w:t xml:space="preserve">, расстояние </w:t>
      </w:r>
      <m:oMath>
        <m:sSup>
          <m:sSupPr>
            <m:ctrlPr>
              <w:rPr>
                <w:rFonts w:ascii="Cambria Math" w:hAnsi="Cambria Math"/>
                <w:i/>
              </w:rPr>
            </m:ctrlPr>
          </m:sSupPr>
          <m:e>
            <m:r>
              <w:rPr>
                <w:rFonts w:ascii="Cambria Math" w:hAnsi="Cambria Math"/>
                <w:lang w:val="en-US"/>
              </w:rPr>
              <m:t>N</m:t>
            </m:r>
          </m:e>
          <m:sup>
            <m:r>
              <w:rPr>
                <w:rFonts w:ascii="Cambria Math" w:hAnsi="Cambria Math"/>
              </w:rPr>
              <m:t>+</m:t>
            </m:r>
          </m:sup>
        </m:sSup>
      </m:oMath>
      <w:r w:rsidR="00A515D6">
        <w:rPr>
          <w:rFonts w:eastAsiaTheme="minorEastAsia"/>
        </w:rPr>
        <w:t>(амино)-</w:t>
      </w:r>
      <w:r w:rsidR="00A515D6" w:rsidRPr="00A515D6">
        <w:rPr>
          <w:rFonts w:eastAsiaTheme="minorEastAsia"/>
          <w:i/>
          <w:lang w:val="en-US"/>
        </w:rPr>
        <w:t>N</w:t>
      </w:r>
      <w:r w:rsidR="00A515D6" w:rsidRPr="00A515D6">
        <w:rPr>
          <w:rFonts w:eastAsiaTheme="minorEastAsia"/>
        </w:rPr>
        <w:t>(</w:t>
      </w:r>
      <w:r w:rsidR="00A515D6">
        <w:rPr>
          <w:rFonts w:eastAsiaTheme="minorEastAsia"/>
        </w:rPr>
        <w:t>индол</w:t>
      </w:r>
      <w:r w:rsidR="00A515D6" w:rsidRPr="00A515D6">
        <w:rPr>
          <w:rFonts w:eastAsiaTheme="minorEastAsia"/>
        </w:rPr>
        <w:t>)</w:t>
      </w:r>
      <w:r w:rsidR="00A515D6">
        <w:rPr>
          <w:rFonts w:eastAsiaTheme="minorEastAsia"/>
        </w:rPr>
        <w:t xml:space="preserve"> сокращается до 4,87 </w:t>
      </w:r>
      <w:r w:rsidR="00A515D6">
        <w:rPr>
          <w:rFonts w:eastAsiaTheme="minorEastAsia" w:cs="Times New Roman"/>
        </w:rPr>
        <w:t>Å</w:t>
      </w:r>
      <w:r w:rsidR="00A515D6">
        <w:rPr>
          <w:rFonts w:eastAsiaTheme="minorEastAsia"/>
        </w:rPr>
        <w:t>, относительная энергия составляет -60,9834 атомных единиц</w:t>
      </w:r>
      <w:r w:rsidR="002B3F31">
        <w:rPr>
          <w:rFonts w:eastAsiaTheme="minorEastAsia"/>
        </w:rPr>
        <w:t xml:space="preserve"> (рис. 4)</w:t>
      </w:r>
      <w:r w:rsidR="00A515D6">
        <w:rPr>
          <w:rFonts w:eastAsiaTheme="minorEastAsia"/>
        </w:rPr>
        <w:t>.</w:t>
      </w:r>
    </w:p>
    <w:p w:rsidR="00B47967" w:rsidRDefault="00B47967" w:rsidP="002B3F31">
      <w:pPr>
        <w:spacing w:after="0" w:line="360" w:lineRule="auto"/>
        <w:jc w:val="center"/>
      </w:pPr>
      <w:r>
        <w:rPr>
          <w:noProof/>
          <w:lang w:eastAsia="ru-RU"/>
        </w:rPr>
        <w:lastRenderedPageBreak/>
        <w:drawing>
          <wp:inline distT="0" distB="0" distL="0" distR="0">
            <wp:extent cx="3715442" cy="3390900"/>
            <wp:effectExtent l="1905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715442" cy="3390900"/>
                    </a:xfrm>
                    <a:prstGeom prst="rect">
                      <a:avLst/>
                    </a:prstGeom>
                    <a:noFill/>
                    <a:ln w="9525">
                      <a:noFill/>
                      <a:miter lim="800000"/>
                      <a:headEnd/>
                      <a:tailEnd/>
                    </a:ln>
                  </pic:spPr>
                </pic:pic>
              </a:graphicData>
            </a:graphic>
          </wp:inline>
        </w:drawing>
      </w:r>
    </w:p>
    <w:p w:rsidR="00A515D6" w:rsidRPr="00335B28" w:rsidRDefault="002B3F31" w:rsidP="002B3F31">
      <w:pPr>
        <w:spacing w:after="0"/>
        <w:jc w:val="center"/>
        <w:rPr>
          <w:rFonts w:eastAsiaTheme="minorEastAsia"/>
        </w:rPr>
      </w:pPr>
      <w:r>
        <w:t>Рисунок 4</w:t>
      </w:r>
      <w:r w:rsidR="00A515D6">
        <w:t xml:space="preserve"> – Оптимальная конформация протонированной формы суматриптана. Белым пунктиром показана внутримолекулярная водородная связь </w:t>
      </w:r>
      <m:oMath>
        <m:sSup>
          <m:sSupPr>
            <m:ctrlPr>
              <w:rPr>
                <w:rFonts w:ascii="Cambria Math" w:hAnsi="Cambria Math"/>
                <w:i/>
              </w:rPr>
            </m:ctrlPr>
          </m:sSupPr>
          <m:e>
            <m:r>
              <w:rPr>
                <w:rFonts w:ascii="Cambria Math" w:hAnsi="Cambria Math"/>
                <w:lang w:val="en-US"/>
              </w:rPr>
              <m:t>N</m:t>
            </m:r>
          </m:e>
          <m:sup>
            <m:r>
              <w:rPr>
                <w:rFonts w:ascii="Cambria Math" w:hAnsi="Cambria Math"/>
              </w:rPr>
              <m:t>+</m:t>
            </m:r>
          </m:sup>
        </m:sSup>
      </m:oMath>
      <w:r w:rsidR="00A515D6" w:rsidRPr="00A515D6">
        <w:rPr>
          <w:rFonts w:eastAsiaTheme="minorEastAsia"/>
          <w:i/>
        </w:rPr>
        <w:t>-</w:t>
      </w:r>
      <w:r w:rsidR="00A515D6" w:rsidRPr="00A515D6">
        <w:rPr>
          <w:rFonts w:eastAsiaTheme="minorEastAsia"/>
          <w:i/>
          <w:lang w:val="en-US"/>
        </w:rPr>
        <w:t>H</w:t>
      </w:r>
      <w:r w:rsidR="00A515D6" w:rsidRPr="00A515D6">
        <w:rPr>
          <w:rFonts w:eastAsiaTheme="minorEastAsia"/>
          <w:i/>
          <w:lang w:val="en-US"/>
        </w:rPr>
        <w:sym w:font="Symbol" w:char="F0D7"/>
      </w:r>
      <w:r w:rsidR="00A515D6" w:rsidRPr="00A515D6">
        <w:rPr>
          <w:rFonts w:eastAsiaTheme="minorEastAsia"/>
          <w:i/>
          <w:lang w:val="en-US"/>
        </w:rPr>
        <w:sym w:font="Symbol" w:char="F0D7"/>
      </w:r>
      <w:r w:rsidR="00A515D6" w:rsidRPr="00A515D6">
        <w:rPr>
          <w:rFonts w:eastAsiaTheme="minorEastAsia"/>
          <w:i/>
          <w:lang w:val="en-US"/>
        </w:rPr>
        <w:sym w:font="Symbol" w:char="F0D7"/>
      </w:r>
      <w:r w:rsidR="00A515D6">
        <w:rPr>
          <w:rFonts w:eastAsiaTheme="minorEastAsia"/>
          <w:i/>
          <w:lang w:val="en-US"/>
        </w:rPr>
        <w:t>O</w:t>
      </w:r>
      <w:r w:rsidR="00A515D6" w:rsidRPr="00A515D6">
        <w:rPr>
          <w:rFonts w:eastAsiaTheme="minorEastAsia"/>
          <w:i/>
        </w:rPr>
        <w:t>-</w:t>
      </w:r>
      <w:r w:rsidR="00A515D6">
        <w:rPr>
          <w:rFonts w:eastAsiaTheme="minorEastAsia"/>
          <w:i/>
          <w:lang w:val="en-US"/>
        </w:rPr>
        <w:t>S</w:t>
      </w:r>
      <w:r w:rsidR="00A515D6" w:rsidRPr="00A515D6">
        <w:rPr>
          <w:rFonts w:eastAsiaTheme="minorEastAsia"/>
          <w:i/>
        </w:rPr>
        <w:t xml:space="preserve">, </w:t>
      </w:r>
      <w:r w:rsidR="00A515D6">
        <w:rPr>
          <w:rFonts w:eastAsiaTheme="minorEastAsia"/>
        </w:rPr>
        <w:t>ответственная за стабилизацию данной конформации. Протонированный атом азо</w:t>
      </w:r>
      <w:r w:rsidR="00F756E7">
        <w:rPr>
          <w:rFonts w:eastAsiaTheme="minorEastAsia"/>
        </w:rPr>
        <w:t>та расположен снизу изображения</w:t>
      </w:r>
    </w:p>
    <w:p w:rsidR="002B3F31" w:rsidRDefault="002B3F31" w:rsidP="002B3F31">
      <w:pPr>
        <w:spacing w:after="0"/>
        <w:jc w:val="center"/>
        <w:rPr>
          <w:rFonts w:eastAsiaTheme="minorEastAsia"/>
        </w:rPr>
      </w:pPr>
    </w:p>
    <w:p w:rsidR="0075713B" w:rsidRDefault="0075713B" w:rsidP="00B47967">
      <w:pPr>
        <w:spacing w:after="0" w:line="360" w:lineRule="auto"/>
        <w:jc w:val="both"/>
        <w:rPr>
          <w:rFonts w:eastAsiaTheme="minorEastAsia"/>
        </w:rPr>
      </w:pPr>
      <w:r>
        <w:rPr>
          <w:rFonts w:eastAsiaTheme="minorEastAsia"/>
        </w:rPr>
        <w:tab/>
        <w:t xml:space="preserve">Энергетический анализ показал значительную стабилизацию протонированной формы, которая обусловлена образованием ионной пары с распределением заряда, образованием прочной связи </w:t>
      </w:r>
      <m:oMath>
        <m:sSup>
          <m:sSupPr>
            <m:ctrlPr>
              <w:rPr>
                <w:rFonts w:ascii="Cambria Math" w:hAnsi="Cambria Math"/>
                <w:i/>
              </w:rPr>
            </m:ctrlPr>
          </m:sSupPr>
          <m:e>
            <m:r>
              <w:rPr>
                <w:rFonts w:ascii="Cambria Math" w:hAnsi="Cambria Math"/>
                <w:lang w:val="en-US"/>
              </w:rPr>
              <m:t>N</m:t>
            </m:r>
          </m:e>
          <m:sup>
            <m:r>
              <w:rPr>
                <w:rFonts w:ascii="Cambria Math" w:hAnsi="Cambria Math"/>
              </w:rPr>
              <m:t>+</m:t>
            </m:r>
          </m:sup>
        </m:sSup>
      </m:oMath>
      <w:r w:rsidRPr="00A515D6">
        <w:rPr>
          <w:rFonts w:eastAsiaTheme="minorEastAsia"/>
          <w:i/>
        </w:rPr>
        <w:t>-</w:t>
      </w:r>
      <w:r w:rsidRPr="00A515D6">
        <w:rPr>
          <w:rFonts w:eastAsiaTheme="minorEastAsia"/>
          <w:i/>
          <w:lang w:val="en-US"/>
        </w:rPr>
        <w:t>H</w:t>
      </w:r>
      <w:r w:rsidRPr="00A515D6">
        <w:rPr>
          <w:rFonts w:eastAsiaTheme="minorEastAsia"/>
          <w:i/>
          <w:lang w:val="en-US"/>
        </w:rPr>
        <w:sym w:font="Symbol" w:char="F0D7"/>
      </w:r>
      <w:r w:rsidRPr="00A515D6">
        <w:rPr>
          <w:rFonts w:eastAsiaTheme="minorEastAsia"/>
          <w:i/>
          <w:lang w:val="en-US"/>
        </w:rPr>
        <w:sym w:font="Symbol" w:char="F0D7"/>
      </w:r>
      <w:r w:rsidRPr="00A515D6">
        <w:rPr>
          <w:rFonts w:eastAsiaTheme="minorEastAsia"/>
          <w:i/>
          <w:lang w:val="en-US"/>
        </w:rPr>
        <w:sym w:font="Symbol" w:char="F0D7"/>
      </w:r>
      <w:r>
        <w:rPr>
          <w:rFonts w:eastAsiaTheme="minorEastAsia"/>
          <w:i/>
          <w:lang w:val="en-US"/>
        </w:rPr>
        <w:t>O</w:t>
      </w:r>
      <w:r w:rsidRPr="0075713B">
        <w:rPr>
          <w:rFonts w:eastAsiaTheme="minorEastAsia"/>
          <w:i/>
        </w:rPr>
        <w:t>-</w:t>
      </w:r>
      <w:r>
        <w:rPr>
          <w:rFonts w:eastAsiaTheme="minorEastAsia"/>
          <w:i/>
          <w:lang w:val="en-US"/>
        </w:rPr>
        <w:t>S</w:t>
      </w:r>
      <w:r w:rsidRPr="0075713B">
        <w:rPr>
          <w:rFonts w:eastAsiaTheme="minorEastAsia"/>
          <w:i/>
        </w:rPr>
        <w:t xml:space="preserve"> </w:t>
      </w:r>
      <w:r>
        <w:rPr>
          <w:rFonts w:eastAsiaTheme="minorEastAsia"/>
        </w:rPr>
        <w:t xml:space="preserve">с энергией </w:t>
      </w:r>
      <w:r w:rsidRPr="0075713B">
        <w:rPr>
          <w:rFonts w:eastAsiaTheme="minorEastAsia"/>
        </w:rPr>
        <w:t xml:space="preserve">~ </w:t>
      </w:r>
      <w:r>
        <w:rPr>
          <w:rFonts w:eastAsiaTheme="minorEastAsia"/>
        </w:rPr>
        <w:t xml:space="preserve">5-7 ккал/моль, переходом атома азота от </w:t>
      </w:r>
      <m:oMath>
        <m:sSup>
          <m:sSupPr>
            <m:ctrlPr>
              <w:rPr>
                <w:rFonts w:ascii="Cambria Math" w:eastAsiaTheme="minorEastAsia" w:hAnsi="Cambria Math"/>
                <w:i/>
              </w:rPr>
            </m:ctrlPr>
          </m:sSupPr>
          <m:e>
            <m:r>
              <w:rPr>
                <w:rFonts w:ascii="Cambria Math" w:eastAsiaTheme="minorEastAsia" w:hAnsi="Cambria Math"/>
                <w:lang w:val="en-US"/>
              </w:rPr>
              <m:t>sp</m:t>
            </m:r>
          </m:e>
          <m:sup>
            <m:r>
              <w:rPr>
                <w:rFonts w:ascii="Cambria Math" w:eastAsiaTheme="minorEastAsia" w:hAnsi="Cambria Math"/>
              </w:rPr>
              <m:t>3</m:t>
            </m:r>
          </m:sup>
        </m:sSup>
      </m:oMath>
      <w:r>
        <w:rPr>
          <w:rFonts w:eastAsiaTheme="minorEastAsia"/>
        </w:rPr>
        <w:t xml:space="preserve"> к более плоской </w:t>
      </w:r>
      <m:oMath>
        <m:sSup>
          <m:sSupPr>
            <m:ctrlPr>
              <w:rPr>
                <w:rFonts w:ascii="Cambria Math" w:eastAsiaTheme="minorEastAsia" w:hAnsi="Cambria Math"/>
                <w:i/>
              </w:rPr>
            </m:ctrlPr>
          </m:sSupPr>
          <m:e>
            <m:r>
              <w:rPr>
                <w:rFonts w:ascii="Cambria Math" w:eastAsiaTheme="minorEastAsia" w:hAnsi="Cambria Math"/>
                <w:lang w:val="en-US"/>
              </w:rPr>
              <m:t>sp</m:t>
            </m:r>
          </m:e>
          <m:sup>
            <m:r>
              <w:rPr>
                <w:rFonts w:ascii="Cambria Math" w:eastAsiaTheme="minorEastAsia" w:hAnsi="Cambria Math"/>
              </w:rPr>
              <m:t>2</m:t>
            </m:r>
          </m:sup>
        </m:sSup>
      </m:oMath>
      <w:r>
        <w:rPr>
          <w:rFonts w:eastAsiaTheme="minorEastAsia"/>
        </w:rPr>
        <w:t>-гибридизации с улучшенным сопряженим.</w:t>
      </w:r>
    </w:p>
    <w:p w:rsidR="0075713B" w:rsidRDefault="0075713B" w:rsidP="0075713B">
      <w:pPr>
        <w:spacing w:after="0" w:line="360" w:lineRule="auto"/>
        <w:ind w:firstLine="709"/>
        <w:jc w:val="both"/>
        <w:rPr>
          <w:rFonts w:eastAsiaTheme="minorEastAsia"/>
        </w:rPr>
      </w:pPr>
      <w:r>
        <w:rPr>
          <w:rFonts w:eastAsiaTheme="minorEastAsia"/>
        </w:rPr>
        <w:t xml:space="preserve">Полученные оптимальные конформации имеют важное биологическое значение, так как именно протонированная форма суматриптана является физиологически активной при </w:t>
      </w:r>
      <w:r>
        <w:rPr>
          <w:rFonts w:eastAsiaTheme="minorEastAsia"/>
          <w:lang w:val="en-US"/>
        </w:rPr>
        <w:t>pH</w:t>
      </w:r>
      <w:r>
        <w:rPr>
          <w:rFonts w:eastAsiaTheme="minorEastAsia"/>
        </w:rPr>
        <w:t xml:space="preserve"> желудочного сока. </w:t>
      </w:r>
    </w:p>
    <w:p w:rsidR="000E2856" w:rsidRDefault="00DF024A" w:rsidP="000E2856">
      <w:pPr>
        <w:spacing w:after="0" w:line="360" w:lineRule="auto"/>
        <w:ind w:firstLine="709"/>
        <w:jc w:val="both"/>
      </w:pPr>
      <w:r>
        <w:t>Также в</w:t>
      </w:r>
      <w:r w:rsidR="00B820AD">
        <w:t xml:space="preserve"> результате работы </w:t>
      </w:r>
      <w:r w:rsidR="00B820AD">
        <w:rPr>
          <w:lang w:val="en-US"/>
        </w:rPr>
        <w:t>CREST</w:t>
      </w:r>
      <w:r w:rsidR="00B820AD" w:rsidRPr="00B820AD">
        <w:t xml:space="preserve"> </w:t>
      </w:r>
      <w:r w:rsidR="00B820AD">
        <w:t xml:space="preserve">было сгенерировано и проанализировано </w:t>
      </w:r>
      <w:r w:rsidR="00090439">
        <w:t>545</w:t>
      </w:r>
      <w:r w:rsidR="00B820AD">
        <w:t xml:space="preserve"> уникальных низкоэнергетических конформеров. </w:t>
      </w:r>
      <w:r w:rsidR="004B5115">
        <w:t xml:space="preserve">Автоматический алгоритм </w:t>
      </w:r>
      <w:r w:rsidR="004B5115">
        <w:rPr>
          <w:lang w:val="en-US"/>
        </w:rPr>
        <w:t>CREST</w:t>
      </w:r>
      <w:r w:rsidR="004B5115">
        <w:t xml:space="preserve"> корректно идентифицировал все возможные ротамеры, возникающие за счет вращения вокруг гибких связей этиламинового фрагмента (</w:t>
      </w:r>
      <w:r w:rsidR="004B5115" w:rsidRPr="004B5115">
        <w:rPr>
          <w:i/>
        </w:rPr>
        <w:t>-</w:t>
      </w:r>
      <m:oMath>
        <m:sSub>
          <m:sSubPr>
            <m:ctrlPr>
              <w:rPr>
                <w:rFonts w:ascii="Cambria Math" w:hAnsi="Cambria Math"/>
                <w:i/>
                <w:lang w:val="en-US"/>
              </w:rPr>
            </m:ctrlPr>
          </m:sSubPr>
          <m:e>
            <m:r>
              <w:rPr>
                <w:rFonts w:ascii="Cambria Math" w:hAnsi="Cambria Math"/>
                <w:lang w:val="en-US"/>
              </w:rPr>
              <m:t>CH</m:t>
            </m:r>
          </m:e>
          <m:sub>
            <m:r>
              <w:rPr>
                <w:rFonts w:ascii="Cambria Math" w:hAnsi="Cambria Math"/>
              </w:rPr>
              <m:t>2</m:t>
            </m:r>
          </m:sub>
        </m:sSub>
      </m:oMath>
      <w:r w:rsidR="004B5115" w:rsidRPr="004B5115">
        <w:rPr>
          <w:i/>
        </w:rPr>
        <w:t>-</w:t>
      </w:r>
      <m:oMath>
        <m:sSub>
          <m:sSubPr>
            <m:ctrlPr>
              <w:rPr>
                <w:rFonts w:ascii="Cambria Math" w:hAnsi="Cambria Math"/>
                <w:i/>
                <w:lang w:val="en-US"/>
              </w:rPr>
            </m:ctrlPr>
          </m:sSubPr>
          <m:e>
            <m:r>
              <w:rPr>
                <w:rFonts w:ascii="Cambria Math" w:hAnsi="Cambria Math"/>
                <w:lang w:val="en-US"/>
              </w:rPr>
              <m:t>CH</m:t>
            </m:r>
          </m:e>
          <m:sub>
            <m:r>
              <w:rPr>
                <w:rFonts w:ascii="Cambria Math" w:hAnsi="Cambria Math"/>
              </w:rPr>
              <m:t>2</m:t>
            </m:r>
          </m:sub>
        </m:sSub>
      </m:oMath>
      <w:r w:rsidR="004B5115" w:rsidRPr="004B5115">
        <w:rPr>
          <w:rFonts w:eastAsiaTheme="minorEastAsia"/>
          <w:i/>
        </w:rPr>
        <w:t>-</w:t>
      </w:r>
      <w:r w:rsidR="004B5115" w:rsidRPr="004B5115">
        <w:rPr>
          <w:rFonts w:eastAsiaTheme="minorEastAsia"/>
          <w:i/>
          <w:lang w:val="en-US"/>
        </w:rPr>
        <w:t>NH</w:t>
      </w:r>
      <w:r w:rsidR="004B5115" w:rsidRPr="004B5115">
        <w:rPr>
          <w:i/>
        </w:rPr>
        <w:t>-</w:t>
      </w:r>
      <m:oMath>
        <m:sSub>
          <m:sSubPr>
            <m:ctrlPr>
              <w:rPr>
                <w:rFonts w:ascii="Cambria Math" w:hAnsi="Cambria Math"/>
                <w:i/>
                <w:lang w:val="en-US"/>
              </w:rPr>
            </m:ctrlPr>
          </m:sSubPr>
          <m:e>
            <m:r>
              <w:rPr>
                <w:rFonts w:ascii="Cambria Math" w:hAnsi="Cambria Math"/>
                <w:lang w:val="en-US"/>
              </w:rPr>
              <m:t>CH</m:t>
            </m:r>
          </m:e>
          <m:sub>
            <m:r>
              <w:rPr>
                <w:rFonts w:ascii="Cambria Math" w:hAnsi="Cambria Math"/>
              </w:rPr>
              <m:t>3</m:t>
            </m:r>
          </m:sub>
        </m:sSub>
      </m:oMath>
      <w:r w:rsidR="004B5115">
        <w:t>) и сульфонамидной группы.</w:t>
      </w:r>
    </w:p>
    <w:p w:rsidR="004B5115" w:rsidRDefault="004B5115" w:rsidP="000E2856">
      <w:pPr>
        <w:spacing w:after="0" w:line="360" w:lineRule="auto"/>
        <w:ind w:firstLine="709"/>
        <w:jc w:val="both"/>
      </w:pPr>
      <w:r>
        <w:t xml:space="preserve">Для </w:t>
      </w:r>
      <w:r w:rsidR="00344895">
        <w:t xml:space="preserve">систематизации 545 полученных конформеров была выполнена их автоматическая кластеризация с целью выявления основных </w:t>
      </w:r>
      <w:r w:rsidR="00344895">
        <w:lastRenderedPageBreak/>
        <w:t>конформационных семейств. Необходимость этого этапа обусловлена невозможностью ручного анализа такого количества структур и важностью выделения репрезентативных паттернов для понимания динамики молекулы.</w:t>
      </w:r>
    </w:p>
    <w:p w:rsidR="00344895" w:rsidRDefault="00344895" w:rsidP="000E2856">
      <w:pPr>
        <w:spacing w:after="0" w:line="360" w:lineRule="auto"/>
        <w:ind w:firstLine="709"/>
        <w:jc w:val="both"/>
      </w:pPr>
      <w:r>
        <w:t>В качестве дескрипторов для кластеризации были использованы следующие геометрические параметры:</w:t>
      </w:r>
    </w:p>
    <w:p w:rsidR="00344895" w:rsidRDefault="00344895" w:rsidP="004F3EF0">
      <w:pPr>
        <w:pStyle w:val="a3"/>
        <w:numPr>
          <w:ilvl w:val="0"/>
          <w:numId w:val="12"/>
        </w:numPr>
        <w:spacing w:after="0" w:line="360" w:lineRule="auto"/>
        <w:jc w:val="both"/>
      </w:pPr>
      <w:r>
        <w:t>30 наиболее информативных межатомных расстояний – пары атомов с максимальным изменением расстояний между конформерами;</w:t>
      </w:r>
    </w:p>
    <w:p w:rsidR="004F3EF0" w:rsidRDefault="004F3EF0" w:rsidP="004F3EF0">
      <w:pPr>
        <w:pStyle w:val="a3"/>
        <w:numPr>
          <w:ilvl w:val="0"/>
          <w:numId w:val="12"/>
        </w:numPr>
        <w:spacing w:after="0" w:line="360" w:lineRule="auto"/>
        <w:jc w:val="both"/>
      </w:pPr>
      <w:r>
        <w:t>р</w:t>
      </w:r>
      <w:r w:rsidR="00344895">
        <w:t>асстояния атомов до центроида молекулы (16 параметров)</w:t>
      </w:r>
      <w:r>
        <w:t xml:space="preserve"> – характеристика пространственного распределения атомов;</w:t>
      </w:r>
    </w:p>
    <w:p w:rsidR="004F3EF0" w:rsidRDefault="004F3EF0" w:rsidP="004F3EF0">
      <w:pPr>
        <w:pStyle w:val="a3"/>
        <w:numPr>
          <w:ilvl w:val="0"/>
          <w:numId w:val="12"/>
        </w:numPr>
        <w:spacing w:after="0" w:line="360" w:lineRule="auto"/>
        <w:jc w:val="both"/>
      </w:pPr>
      <w:r>
        <w:t>радиус гирации – интегральная мера размеров молекулы.</w:t>
      </w:r>
    </w:p>
    <w:p w:rsidR="004B5115" w:rsidRDefault="004F3EF0" w:rsidP="000E2856">
      <w:pPr>
        <w:spacing w:after="0" w:line="360" w:lineRule="auto"/>
        <w:ind w:firstLine="709"/>
        <w:jc w:val="both"/>
      </w:pPr>
      <w:r>
        <w:t xml:space="preserve">Общая размерность пространства признаков составила </w:t>
      </w:r>
      <w:r w:rsidR="00606332">
        <w:t>72</w:t>
      </w:r>
      <w:r>
        <w:t xml:space="preserve"> параметров на конформер</w:t>
      </w:r>
      <w:r w:rsidR="00606332">
        <w:t xml:space="preserve">. Все признаки были стандартизированы методом </w:t>
      </w:r>
      <w:r w:rsidR="00606332">
        <w:rPr>
          <w:lang w:val="en-US"/>
        </w:rPr>
        <w:t>Z</w:t>
      </w:r>
      <w:r w:rsidR="00606332" w:rsidRPr="0075713B">
        <w:t>-</w:t>
      </w:r>
      <w:r w:rsidR="00606332">
        <w:rPr>
          <w:lang w:val="en-US"/>
        </w:rPr>
        <w:t>score</w:t>
      </w:r>
      <w:r w:rsidR="00606332">
        <w:t xml:space="preserve"> нормализации </w:t>
      </w:r>
      <w:r w:rsidR="0075713B">
        <w:t>для устранения масштабных различий.</w:t>
      </w:r>
    </w:p>
    <w:p w:rsidR="0075713B" w:rsidRDefault="0075713B" w:rsidP="000E2856">
      <w:pPr>
        <w:spacing w:after="0" w:line="360" w:lineRule="auto"/>
        <w:ind w:firstLine="709"/>
        <w:jc w:val="both"/>
      </w:pPr>
      <w:r>
        <w:t xml:space="preserve">Для кластеризации был применен алгоритм </w:t>
      </w:r>
      <w:r>
        <w:rPr>
          <w:lang w:val="en-US"/>
        </w:rPr>
        <w:t>K</w:t>
      </w:r>
      <w:r w:rsidRPr="0075713B">
        <w:t>-</w:t>
      </w:r>
      <w:r>
        <w:rPr>
          <w:lang w:val="en-US"/>
        </w:rPr>
        <w:t>means</w:t>
      </w:r>
      <w:r>
        <w:t xml:space="preserve"> с различным числом кластеров (</w:t>
      </w:r>
      <w:r>
        <w:rPr>
          <w:lang w:val="en-US"/>
        </w:rPr>
        <w:t>K</w:t>
      </w:r>
      <w:r w:rsidRPr="0075713B">
        <w:t>=2-5</w:t>
      </w:r>
      <w:r>
        <w:t>). Для визуализации результатов использовался метод главных компонент (</w:t>
      </w:r>
      <w:r>
        <w:rPr>
          <w:lang w:val="en-US"/>
        </w:rPr>
        <w:t>PCA</w:t>
      </w:r>
      <w:r>
        <w:t xml:space="preserve">), где первые </w:t>
      </w:r>
      <w:r w:rsidR="002358AD">
        <w:t>две компоненты объясняют 40% общей дисперсии (</w:t>
      </w:r>
      <w:r w:rsidR="002358AD">
        <w:rPr>
          <w:lang w:val="en-US"/>
        </w:rPr>
        <w:t>PC</w:t>
      </w:r>
      <w:r w:rsidR="002358AD" w:rsidRPr="002358AD">
        <w:t>1=2</w:t>
      </w:r>
      <w:r w:rsidR="002358AD">
        <w:t>4</w:t>
      </w:r>
      <w:r w:rsidR="002358AD" w:rsidRPr="002358AD">
        <w:t>,</w:t>
      </w:r>
      <w:r w:rsidR="002358AD">
        <w:t>5</w:t>
      </w:r>
      <w:r w:rsidR="002358AD" w:rsidRPr="002358AD">
        <w:t xml:space="preserve">%, </w:t>
      </w:r>
      <w:r w:rsidR="002358AD">
        <w:rPr>
          <w:lang w:val="en-US"/>
        </w:rPr>
        <w:t>PC</w:t>
      </w:r>
      <w:r w:rsidR="002358AD" w:rsidRPr="002358AD">
        <w:t>2=1</w:t>
      </w:r>
      <w:r w:rsidR="002358AD">
        <w:t>5</w:t>
      </w:r>
      <w:r w:rsidR="002358AD" w:rsidRPr="002358AD">
        <w:t>,5%</w:t>
      </w:r>
      <w:r w:rsidR="002358AD">
        <w:t>).</w:t>
      </w:r>
    </w:p>
    <w:p w:rsidR="002358AD" w:rsidRDefault="002358AD" w:rsidP="000E2856">
      <w:pPr>
        <w:spacing w:after="0" w:line="360" w:lineRule="auto"/>
        <w:ind w:firstLine="709"/>
        <w:jc w:val="both"/>
      </w:pPr>
      <w:r>
        <w:t xml:space="preserve">Результаты </w:t>
      </w:r>
      <w:r>
        <w:rPr>
          <w:lang w:val="en-US"/>
        </w:rPr>
        <w:t>K</w:t>
      </w:r>
      <w:r w:rsidRPr="002358AD">
        <w:t>-</w:t>
      </w:r>
      <w:r>
        <w:rPr>
          <w:lang w:val="en-US"/>
        </w:rPr>
        <w:t>means</w:t>
      </w:r>
      <w:r>
        <w:t xml:space="preserve"> кластеризации при </w:t>
      </w:r>
      <w:r>
        <w:rPr>
          <w:lang w:val="en-US"/>
        </w:rPr>
        <w:t>K</w:t>
      </w:r>
      <w:r w:rsidRPr="002358AD">
        <w:t xml:space="preserve">=3 </w:t>
      </w:r>
      <w:r>
        <w:t>показали наиболее соде</w:t>
      </w:r>
      <w:r w:rsidR="002B3F31">
        <w:t>ржательное разделение (рисунок 5 и 6</w:t>
      </w:r>
      <w:r w:rsidR="00734609">
        <w:t>), так как он обеспечивает сбалансированное распределение конформеров и соответствует ожидаемому наличию нескольких основных конформационных состояний.</w:t>
      </w:r>
    </w:p>
    <w:p w:rsidR="002358AD" w:rsidRDefault="002358AD" w:rsidP="00734609">
      <w:pPr>
        <w:spacing w:after="0" w:line="360" w:lineRule="auto"/>
        <w:jc w:val="center"/>
      </w:pPr>
      <w:r>
        <w:rPr>
          <w:noProof/>
          <w:lang w:eastAsia="ru-RU"/>
        </w:rPr>
        <w:lastRenderedPageBreak/>
        <w:drawing>
          <wp:inline distT="0" distB="0" distL="0" distR="0">
            <wp:extent cx="5646420" cy="4678680"/>
            <wp:effectExtent l="1905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646420" cy="4678680"/>
                    </a:xfrm>
                    <a:prstGeom prst="rect">
                      <a:avLst/>
                    </a:prstGeom>
                    <a:noFill/>
                    <a:ln w="9525">
                      <a:noFill/>
                      <a:miter lim="800000"/>
                      <a:headEnd/>
                      <a:tailEnd/>
                    </a:ln>
                  </pic:spPr>
                </pic:pic>
              </a:graphicData>
            </a:graphic>
          </wp:inline>
        </w:drawing>
      </w:r>
    </w:p>
    <w:p w:rsidR="002358AD" w:rsidRDefault="002B3F31" w:rsidP="00734609">
      <w:pPr>
        <w:spacing w:after="0"/>
        <w:jc w:val="center"/>
      </w:pPr>
      <w:r>
        <w:t>Рисунок 5</w:t>
      </w:r>
      <w:r w:rsidR="002358AD">
        <w:t xml:space="preserve"> – </w:t>
      </w:r>
      <w:r w:rsidR="002358AD">
        <w:rPr>
          <w:lang w:val="en-US"/>
        </w:rPr>
        <w:t>PCA</w:t>
      </w:r>
      <w:r w:rsidR="002358AD" w:rsidRPr="002358AD">
        <w:t>-</w:t>
      </w:r>
      <w:r w:rsidR="002358AD">
        <w:t xml:space="preserve">проекция конформеров суматриптана с цветовым кодированием по кластерам </w:t>
      </w:r>
      <w:r w:rsidR="002358AD">
        <w:rPr>
          <w:lang w:val="en-US"/>
        </w:rPr>
        <w:t>K</w:t>
      </w:r>
      <w:r w:rsidR="002358AD" w:rsidRPr="002358AD">
        <w:t>-</w:t>
      </w:r>
      <w:r w:rsidR="002358AD">
        <w:rPr>
          <w:lang w:val="en-US"/>
        </w:rPr>
        <w:t>means</w:t>
      </w:r>
      <w:r w:rsidR="002358AD" w:rsidRPr="002358AD">
        <w:t xml:space="preserve"> (</w:t>
      </w:r>
      <w:r w:rsidR="002358AD">
        <w:rPr>
          <w:lang w:val="en-US"/>
        </w:rPr>
        <w:t>K</w:t>
      </w:r>
      <w:r w:rsidR="002358AD" w:rsidRPr="002358AD">
        <w:t>=</w:t>
      </w:r>
      <w:r w:rsidR="002358AD" w:rsidRPr="00553728">
        <w:t>3</w:t>
      </w:r>
      <w:r w:rsidR="002358AD" w:rsidRPr="002358AD">
        <w:t>)</w:t>
      </w:r>
    </w:p>
    <w:p w:rsidR="00734609" w:rsidRPr="002B3F31" w:rsidRDefault="00734609" w:rsidP="00734609">
      <w:pPr>
        <w:spacing w:after="0"/>
        <w:jc w:val="center"/>
      </w:pPr>
    </w:p>
    <w:p w:rsidR="00553728" w:rsidRDefault="00553728" w:rsidP="00734609">
      <w:pPr>
        <w:spacing w:after="0" w:line="360" w:lineRule="auto"/>
        <w:jc w:val="center"/>
        <w:rPr>
          <w:lang w:val="en-US"/>
        </w:rPr>
      </w:pPr>
      <w:r>
        <w:rPr>
          <w:noProof/>
          <w:lang w:eastAsia="ru-RU"/>
        </w:rPr>
        <w:drawing>
          <wp:inline distT="0" distB="0" distL="0" distR="0">
            <wp:extent cx="5181600" cy="2842260"/>
            <wp:effectExtent l="1905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5181600" cy="2842260"/>
                    </a:xfrm>
                    <a:prstGeom prst="rect">
                      <a:avLst/>
                    </a:prstGeom>
                    <a:noFill/>
                    <a:ln w="9525">
                      <a:noFill/>
                      <a:miter lim="800000"/>
                      <a:headEnd/>
                      <a:tailEnd/>
                    </a:ln>
                  </pic:spPr>
                </pic:pic>
              </a:graphicData>
            </a:graphic>
          </wp:inline>
        </w:drawing>
      </w:r>
    </w:p>
    <w:p w:rsidR="00553728" w:rsidRDefault="002B3F31" w:rsidP="00734609">
      <w:pPr>
        <w:spacing w:after="0"/>
        <w:jc w:val="center"/>
      </w:pPr>
      <w:r>
        <w:t>Рисунок 6</w:t>
      </w:r>
      <w:r w:rsidR="00553728">
        <w:t xml:space="preserve"> – Гистограмма распределения конформеров по трем кластерам </w:t>
      </w:r>
      <w:r w:rsidR="00553728">
        <w:rPr>
          <w:lang w:val="en-US"/>
        </w:rPr>
        <w:t>K</w:t>
      </w:r>
      <w:r w:rsidR="00553728" w:rsidRPr="00553728">
        <w:t>-</w:t>
      </w:r>
      <w:r w:rsidR="00553728">
        <w:rPr>
          <w:lang w:val="en-US"/>
        </w:rPr>
        <w:t>means</w:t>
      </w:r>
      <w:r w:rsidR="00553728">
        <w:t>, демонстрирующая приблизительно равное распределение между кластерами</w:t>
      </w:r>
    </w:p>
    <w:p w:rsidR="00553728" w:rsidRDefault="00553728" w:rsidP="002358AD">
      <w:pPr>
        <w:spacing w:after="0" w:line="360" w:lineRule="auto"/>
        <w:jc w:val="both"/>
      </w:pPr>
      <w:r>
        <w:lastRenderedPageBreak/>
        <w:tab/>
        <w:t>Матрица расстояний между центрами кластеров демонстрирует хорошую разделимость:</w:t>
      </w:r>
    </w:p>
    <w:p w:rsidR="00553728" w:rsidRDefault="00553728" w:rsidP="002B3F31">
      <w:pPr>
        <w:spacing w:after="0" w:line="360" w:lineRule="auto"/>
        <w:ind w:left="708"/>
        <w:jc w:val="both"/>
      </w:pPr>
      <w:r>
        <w:t>Кластер 0 – Кластер 1: 8,72 усл. ед.</w:t>
      </w:r>
    </w:p>
    <w:p w:rsidR="00734609" w:rsidRDefault="00734609" w:rsidP="002B3F31">
      <w:pPr>
        <w:spacing w:after="0" w:line="360" w:lineRule="auto"/>
        <w:ind w:left="708"/>
        <w:jc w:val="both"/>
      </w:pPr>
      <w:r>
        <w:t>Кластер 0 – Кластер 2: 7,62 усл. ед.</w:t>
      </w:r>
    </w:p>
    <w:p w:rsidR="00734609" w:rsidRDefault="00734609" w:rsidP="002B3F31">
      <w:pPr>
        <w:spacing w:after="0" w:line="360" w:lineRule="auto"/>
        <w:ind w:left="708"/>
        <w:jc w:val="both"/>
      </w:pPr>
      <w:r>
        <w:t>Кластер 1 – Кластер 2: 6,64 усл. ед.</w:t>
      </w:r>
    </w:p>
    <w:p w:rsidR="00734609" w:rsidRDefault="00734609" w:rsidP="00734609">
      <w:pPr>
        <w:spacing w:after="0" w:line="360" w:lineRule="auto"/>
        <w:ind w:firstLine="708"/>
        <w:jc w:val="both"/>
      </w:pPr>
      <w:r>
        <w:t xml:space="preserve">Средний </w:t>
      </w:r>
      <w:r>
        <w:rPr>
          <w:lang w:val="en-US"/>
        </w:rPr>
        <w:t>RMSD</w:t>
      </w:r>
      <w:r w:rsidRPr="00734609">
        <w:t xml:space="preserve"> </w:t>
      </w:r>
      <w:r>
        <w:t>внутри кластеров составил 1,60</w:t>
      </w:r>
      <w:r>
        <w:sym w:font="Symbol" w:char="F0B1"/>
      </w:r>
      <w:r>
        <w:t xml:space="preserve">0,16 </w:t>
      </w:r>
      <w:r>
        <w:rPr>
          <w:rFonts w:cs="Times New Roman"/>
        </w:rPr>
        <w:t>Å</w:t>
      </w:r>
      <w:r>
        <w:t>, что свидетельствует о высокой геометрической однородности выделенных групп.</w:t>
      </w:r>
    </w:p>
    <w:p w:rsidR="00734609" w:rsidRDefault="00734609" w:rsidP="002358AD">
      <w:pPr>
        <w:spacing w:after="0" w:line="360" w:lineRule="auto"/>
        <w:jc w:val="both"/>
      </w:pPr>
      <w:r>
        <w:tab/>
        <w:t>Проведенная кластеризация позволила идентифицировать три основных конформационных семейств суматриптана, которые различаются ориентацией этиламинового хвоста и сульфонамидной группы относительно индольного ядра. Это разделение имеет важное значение для последующего анализа, так как различные конформации могут по-разному взаимодействовать с биологическими мишенями.</w:t>
      </w:r>
    </w:p>
    <w:p w:rsidR="00A05E6B" w:rsidRDefault="00A05E6B" w:rsidP="002358AD">
      <w:pPr>
        <w:spacing w:after="0" w:line="360" w:lineRule="auto"/>
        <w:jc w:val="both"/>
        <w:rPr>
          <w:rFonts w:eastAsiaTheme="minorEastAsia"/>
        </w:rPr>
      </w:pPr>
      <w:r>
        <w:tab/>
        <w:t xml:space="preserve">Для протонированной формы суматриптана был проведен аналогичный конформационный поиск. В результате расчетов было сгенерировано и проанализировано 24 низкоэнергетических конформера, что существенно меньше, чем для нейтральной формы. Это сокращение разнообразия конформеров объясняется образованием стабилизирующей внутримолекулярной водородной </w:t>
      </w:r>
      <w:r>
        <w:rPr>
          <w:rFonts w:eastAsiaTheme="minorEastAsia"/>
        </w:rPr>
        <w:t xml:space="preserve">связи </w:t>
      </w:r>
      <m:oMath>
        <m:sSup>
          <m:sSupPr>
            <m:ctrlPr>
              <w:rPr>
                <w:rFonts w:ascii="Cambria Math" w:hAnsi="Cambria Math"/>
                <w:i/>
              </w:rPr>
            </m:ctrlPr>
          </m:sSupPr>
          <m:e>
            <m:r>
              <w:rPr>
                <w:rFonts w:ascii="Cambria Math" w:hAnsi="Cambria Math"/>
                <w:lang w:val="en-US"/>
              </w:rPr>
              <m:t>N</m:t>
            </m:r>
          </m:e>
          <m:sup>
            <m:r>
              <w:rPr>
                <w:rFonts w:ascii="Cambria Math" w:hAnsi="Cambria Math"/>
              </w:rPr>
              <m:t>+</m:t>
            </m:r>
          </m:sup>
        </m:sSup>
      </m:oMath>
      <w:r w:rsidRPr="00A515D6">
        <w:rPr>
          <w:rFonts w:eastAsiaTheme="minorEastAsia"/>
          <w:i/>
        </w:rPr>
        <w:t>-</w:t>
      </w:r>
      <w:r w:rsidRPr="00A515D6">
        <w:rPr>
          <w:rFonts w:eastAsiaTheme="minorEastAsia"/>
          <w:i/>
          <w:lang w:val="en-US"/>
        </w:rPr>
        <w:t>H</w:t>
      </w:r>
      <w:r w:rsidRPr="00A515D6">
        <w:rPr>
          <w:rFonts w:eastAsiaTheme="minorEastAsia"/>
          <w:i/>
          <w:lang w:val="en-US"/>
        </w:rPr>
        <w:sym w:font="Symbol" w:char="F0D7"/>
      </w:r>
      <w:r w:rsidRPr="00A515D6">
        <w:rPr>
          <w:rFonts w:eastAsiaTheme="minorEastAsia"/>
          <w:i/>
          <w:lang w:val="en-US"/>
        </w:rPr>
        <w:sym w:font="Symbol" w:char="F0D7"/>
      </w:r>
      <w:r w:rsidRPr="00A515D6">
        <w:rPr>
          <w:rFonts w:eastAsiaTheme="minorEastAsia"/>
          <w:i/>
          <w:lang w:val="en-US"/>
        </w:rPr>
        <w:sym w:font="Symbol" w:char="F0D7"/>
      </w:r>
      <w:r>
        <w:rPr>
          <w:rFonts w:eastAsiaTheme="minorEastAsia"/>
          <w:i/>
          <w:lang w:val="en-US"/>
        </w:rPr>
        <w:t>O</w:t>
      </w:r>
      <w:r w:rsidRPr="0075713B">
        <w:rPr>
          <w:rFonts w:eastAsiaTheme="minorEastAsia"/>
          <w:i/>
        </w:rPr>
        <w:t>-</w:t>
      </w:r>
      <w:r>
        <w:rPr>
          <w:rFonts w:eastAsiaTheme="minorEastAsia"/>
          <w:i/>
          <w:lang w:val="en-US"/>
        </w:rPr>
        <w:t>S</w:t>
      </w:r>
      <w:r>
        <w:rPr>
          <w:rFonts w:eastAsiaTheme="minorEastAsia"/>
        </w:rPr>
        <w:t xml:space="preserve">, которая ограничивает вращательную свободу этиламинового фрагмента и сульфонамидной группы. </w:t>
      </w:r>
    </w:p>
    <w:p w:rsidR="00A05E6B" w:rsidRDefault="00A05E6B" w:rsidP="002358AD">
      <w:pPr>
        <w:spacing w:after="0" w:line="360" w:lineRule="auto"/>
        <w:jc w:val="both"/>
        <w:rPr>
          <w:rFonts w:eastAsiaTheme="minorEastAsia"/>
        </w:rPr>
      </w:pPr>
      <w:r>
        <w:rPr>
          <w:rFonts w:eastAsiaTheme="minorEastAsia"/>
        </w:rPr>
        <w:tab/>
        <w:t xml:space="preserve">Для систематизации 24 конформеров протонированного суматриптана была выполнена их автоматическая кластеризация по аналогичной методологии. </w:t>
      </w:r>
    </w:p>
    <w:p w:rsidR="00A05E6B" w:rsidRDefault="00A05E6B" w:rsidP="00A05E6B">
      <w:pPr>
        <w:spacing w:after="0" w:line="360" w:lineRule="auto"/>
        <w:ind w:firstLine="708"/>
        <w:jc w:val="both"/>
        <w:rPr>
          <w:rFonts w:eastAsiaTheme="minorEastAsia"/>
        </w:rPr>
      </w:pPr>
      <w:r>
        <w:rPr>
          <w:rFonts w:eastAsiaTheme="minorEastAsia"/>
        </w:rPr>
        <w:t xml:space="preserve">Общая размерность пространства признаков составила 73 параметра на конформер. Все признаки были стандартизированы методом </w:t>
      </w:r>
      <w:r>
        <w:rPr>
          <w:rFonts w:eastAsiaTheme="minorEastAsia"/>
          <w:lang w:val="en-US"/>
        </w:rPr>
        <w:t>Z</w:t>
      </w:r>
      <w:r w:rsidRPr="00A05E6B">
        <w:rPr>
          <w:rFonts w:eastAsiaTheme="minorEastAsia"/>
        </w:rPr>
        <w:t>-</w:t>
      </w:r>
      <w:r>
        <w:rPr>
          <w:rFonts w:eastAsiaTheme="minorEastAsia"/>
          <w:lang w:val="en-US"/>
        </w:rPr>
        <w:t>score</w:t>
      </w:r>
      <w:r>
        <w:rPr>
          <w:rFonts w:eastAsiaTheme="minorEastAsia"/>
        </w:rPr>
        <w:t xml:space="preserve"> нормализации. Для визуализации результатов использовался метод главных компонент (</w:t>
      </w:r>
      <w:r>
        <w:rPr>
          <w:rFonts w:eastAsiaTheme="minorEastAsia"/>
          <w:lang w:val="en-US"/>
        </w:rPr>
        <w:t>PCA</w:t>
      </w:r>
      <w:r>
        <w:rPr>
          <w:rFonts w:eastAsiaTheme="minorEastAsia"/>
        </w:rPr>
        <w:t xml:space="preserve">), где первые две компоненты объясняют </w:t>
      </w:r>
      <w:r w:rsidRPr="00A05E6B">
        <w:rPr>
          <w:rFonts w:eastAsiaTheme="minorEastAsia"/>
        </w:rPr>
        <w:t>40</w:t>
      </w:r>
      <w:r>
        <w:rPr>
          <w:rFonts w:eastAsiaTheme="minorEastAsia"/>
        </w:rPr>
        <w:t>% общей дисперсии (</w:t>
      </w:r>
      <w:r>
        <w:rPr>
          <w:rFonts w:eastAsiaTheme="minorEastAsia"/>
          <w:lang w:val="en-US"/>
        </w:rPr>
        <w:t>PC</w:t>
      </w:r>
      <w:r w:rsidRPr="00A05E6B">
        <w:rPr>
          <w:rFonts w:eastAsiaTheme="minorEastAsia"/>
        </w:rPr>
        <w:t xml:space="preserve">1=21,3%, </w:t>
      </w:r>
      <w:r>
        <w:rPr>
          <w:rFonts w:eastAsiaTheme="minorEastAsia"/>
          <w:lang w:val="en-US"/>
        </w:rPr>
        <w:t>PC</w:t>
      </w:r>
      <w:r w:rsidRPr="00A05E6B">
        <w:rPr>
          <w:rFonts w:eastAsiaTheme="minorEastAsia"/>
        </w:rPr>
        <w:t>2=18,7%</w:t>
      </w:r>
      <w:r>
        <w:rPr>
          <w:rFonts w:eastAsiaTheme="minorEastAsia"/>
        </w:rPr>
        <w:t xml:space="preserve">). </w:t>
      </w:r>
    </w:p>
    <w:p w:rsidR="00D45F65" w:rsidRDefault="00D45F65" w:rsidP="00D45F65">
      <w:pPr>
        <w:spacing w:after="0" w:line="360" w:lineRule="auto"/>
        <w:ind w:firstLine="708"/>
        <w:jc w:val="both"/>
        <w:rPr>
          <w:rFonts w:eastAsiaTheme="minorEastAsia"/>
        </w:rPr>
      </w:pPr>
      <w:r>
        <w:rPr>
          <w:rFonts w:eastAsiaTheme="minorEastAsia"/>
        </w:rPr>
        <w:lastRenderedPageBreak/>
        <w:tab/>
        <w:t xml:space="preserve">Результаты </w:t>
      </w:r>
      <w:r>
        <w:rPr>
          <w:rFonts w:eastAsiaTheme="minorEastAsia"/>
          <w:lang w:val="en-US"/>
        </w:rPr>
        <w:t>K</w:t>
      </w:r>
      <w:r w:rsidRPr="00D45F65">
        <w:rPr>
          <w:rFonts w:eastAsiaTheme="minorEastAsia"/>
        </w:rPr>
        <w:t>-</w:t>
      </w:r>
      <w:r>
        <w:rPr>
          <w:rFonts w:eastAsiaTheme="minorEastAsia"/>
          <w:lang w:val="en-US"/>
        </w:rPr>
        <w:t>means</w:t>
      </w:r>
      <w:r>
        <w:rPr>
          <w:rFonts w:eastAsiaTheme="minorEastAsia"/>
        </w:rPr>
        <w:t xml:space="preserve"> кластеризации для протонированной формы показали существенные отличия от нейтрального аналога. Наиболее содержательным оказалось разделение при </w:t>
      </w:r>
      <w:r>
        <w:rPr>
          <w:rFonts w:eastAsiaTheme="minorEastAsia"/>
          <w:lang w:val="en-US"/>
        </w:rPr>
        <w:t>K</w:t>
      </w:r>
      <w:r w:rsidRPr="00D45F65">
        <w:rPr>
          <w:rFonts w:eastAsiaTheme="minorEastAsia"/>
        </w:rPr>
        <w:t>=3 (</w:t>
      </w:r>
      <w:r>
        <w:rPr>
          <w:rFonts w:eastAsiaTheme="minorEastAsia"/>
        </w:rPr>
        <w:t>рис. 7 и 8</w:t>
      </w:r>
      <w:r w:rsidRPr="00D45F65">
        <w:rPr>
          <w:rFonts w:eastAsiaTheme="minorEastAsia"/>
        </w:rPr>
        <w:t>)</w:t>
      </w:r>
      <w:r>
        <w:rPr>
          <w:rFonts w:eastAsiaTheme="minorEastAsia"/>
        </w:rPr>
        <w:t>: кластер 0 –  редкая конформация, кластер 1 – доминирующее конформационное семейство, кластер 2 – второе по распространенности семейство.</w:t>
      </w:r>
    </w:p>
    <w:p w:rsidR="00D45F65" w:rsidRDefault="00D45F65" w:rsidP="00EC611F">
      <w:pPr>
        <w:spacing w:after="0" w:line="360" w:lineRule="auto"/>
        <w:jc w:val="center"/>
        <w:rPr>
          <w:rFonts w:eastAsiaTheme="minorEastAsia"/>
        </w:rPr>
      </w:pPr>
      <w:r>
        <w:rPr>
          <w:rFonts w:eastAsiaTheme="minorEastAsia"/>
          <w:noProof/>
          <w:lang w:eastAsia="ru-RU"/>
        </w:rPr>
        <w:drawing>
          <wp:inline distT="0" distB="0" distL="0" distR="0">
            <wp:extent cx="5661660" cy="467868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5661660" cy="4678680"/>
                    </a:xfrm>
                    <a:prstGeom prst="rect">
                      <a:avLst/>
                    </a:prstGeom>
                    <a:noFill/>
                    <a:ln w="9525">
                      <a:noFill/>
                      <a:miter lim="800000"/>
                      <a:headEnd/>
                      <a:tailEnd/>
                    </a:ln>
                  </pic:spPr>
                </pic:pic>
              </a:graphicData>
            </a:graphic>
          </wp:inline>
        </w:drawing>
      </w:r>
    </w:p>
    <w:p w:rsidR="00D45F65" w:rsidRDefault="00D45F65" w:rsidP="00EC611F">
      <w:pPr>
        <w:spacing w:after="0"/>
        <w:jc w:val="center"/>
        <w:rPr>
          <w:rFonts w:eastAsiaTheme="minorEastAsia"/>
        </w:rPr>
      </w:pPr>
      <w:r>
        <w:rPr>
          <w:rFonts w:eastAsiaTheme="minorEastAsia"/>
        </w:rPr>
        <w:t xml:space="preserve">Рисунок 7 – </w:t>
      </w:r>
      <w:r>
        <w:rPr>
          <w:rFonts w:eastAsiaTheme="minorEastAsia"/>
          <w:lang w:val="en-US"/>
        </w:rPr>
        <w:t>PCA</w:t>
      </w:r>
      <w:r>
        <w:rPr>
          <w:rFonts w:eastAsiaTheme="minorEastAsia"/>
        </w:rPr>
        <w:t xml:space="preserve">-проекция конформеров протонированного суматриптана с цветовым кодированием по кластерам </w:t>
      </w:r>
      <w:r>
        <w:rPr>
          <w:rFonts w:eastAsiaTheme="minorEastAsia"/>
          <w:lang w:val="en-US"/>
        </w:rPr>
        <w:t>K</w:t>
      </w:r>
      <w:r w:rsidRPr="00D45F65">
        <w:rPr>
          <w:rFonts w:eastAsiaTheme="minorEastAsia"/>
        </w:rPr>
        <w:t>-</w:t>
      </w:r>
      <w:r>
        <w:rPr>
          <w:rFonts w:eastAsiaTheme="minorEastAsia"/>
          <w:lang w:val="en-US"/>
        </w:rPr>
        <w:t>means</w:t>
      </w:r>
      <w:r>
        <w:rPr>
          <w:rFonts w:eastAsiaTheme="minorEastAsia"/>
        </w:rPr>
        <w:t xml:space="preserve"> (</w:t>
      </w:r>
      <w:r>
        <w:rPr>
          <w:rFonts w:eastAsiaTheme="minorEastAsia"/>
          <w:lang w:val="en-US"/>
        </w:rPr>
        <w:t>K</w:t>
      </w:r>
      <w:r w:rsidRPr="00D45F65">
        <w:rPr>
          <w:rFonts w:eastAsiaTheme="minorEastAsia"/>
        </w:rPr>
        <w:t>=</w:t>
      </w:r>
      <w:r w:rsidR="00EC611F">
        <w:rPr>
          <w:rFonts w:eastAsiaTheme="minorEastAsia"/>
        </w:rPr>
        <w:t>3</w:t>
      </w:r>
      <w:r>
        <w:rPr>
          <w:rFonts w:eastAsiaTheme="minorEastAsia"/>
        </w:rPr>
        <w:t>)</w:t>
      </w:r>
    </w:p>
    <w:p w:rsidR="00EC611F" w:rsidRDefault="00EC611F" w:rsidP="00EC611F">
      <w:pPr>
        <w:spacing w:after="0"/>
        <w:jc w:val="center"/>
        <w:rPr>
          <w:rFonts w:eastAsiaTheme="minorEastAsia"/>
        </w:rPr>
      </w:pPr>
    </w:p>
    <w:p w:rsidR="00EC611F" w:rsidRPr="00D45F65" w:rsidRDefault="00EC611F" w:rsidP="00D45F65">
      <w:pPr>
        <w:spacing w:after="0" w:line="360" w:lineRule="auto"/>
        <w:jc w:val="both"/>
        <w:rPr>
          <w:rFonts w:eastAsiaTheme="minorEastAsia"/>
        </w:rPr>
      </w:pPr>
      <w:r>
        <w:rPr>
          <w:rFonts w:eastAsiaTheme="minorEastAsia"/>
        </w:rPr>
        <w:tab/>
        <w:t>Матрица расстояний между центрами кластеров демонстрирует высокую степень разделимости. Кластер 0 максимально удален как от кластера 1 (12,12 усл. ед.), так и от кластера 2 (12,91 усл. ед.). Расстояние между кластерами 1 и 2 составляет 7,05 усл. ед., что также указывает на хорошую разделимость. Особенно высокое расстояние до кластера 0 свидетельствует о его уникальной геометрии.</w:t>
      </w:r>
    </w:p>
    <w:p w:rsidR="000E2856" w:rsidRDefault="00523779" w:rsidP="000E2856">
      <w:pPr>
        <w:spacing w:after="0" w:line="360" w:lineRule="auto"/>
        <w:ind w:firstLine="709"/>
        <w:jc w:val="both"/>
      </w:pPr>
      <w:r>
        <w:lastRenderedPageBreak/>
        <w:t xml:space="preserve">Средние значения </w:t>
      </w:r>
      <w:r>
        <w:rPr>
          <w:lang w:val="en-US"/>
        </w:rPr>
        <w:t>RMSD</w:t>
      </w:r>
      <w:r w:rsidRPr="00523779">
        <w:t xml:space="preserve"> </w:t>
      </w:r>
      <w:r>
        <w:t xml:space="preserve">внутри кластеров демонстрируют различную степень геометрической однородности: 0,499 </w:t>
      </w:r>
      <w:r>
        <w:rPr>
          <w:rFonts w:cs="Times New Roman"/>
        </w:rPr>
        <w:t>Å</w:t>
      </w:r>
      <w:r>
        <w:t xml:space="preserve"> для кластера 0, 1,145 </w:t>
      </w:r>
      <w:r>
        <w:sym w:font="Symbol" w:char="F0B1"/>
      </w:r>
      <w:r>
        <w:t xml:space="preserve"> 0,152 </w:t>
      </w:r>
      <w:r>
        <w:rPr>
          <w:rFonts w:cs="Times New Roman"/>
        </w:rPr>
        <w:t>Å</w:t>
      </w:r>
      <w:r>
        <w:t xml:space="preserve"> для кластера 1, 1,206 </w:t>
      </w:r>
      <w:r>
        <w:sym w:font="Symbol" w:char="F0B1"/>
      </w:r>
      <w:r>
        <w:t xml:space="preserve"> 0,181 </w:t>
      </w:r>
      <w:r>
        <w:rPr>
          <w:rFonts w:cs="Times New Roman"/>
        </w:rPr>
        <w:t>Å</w:t>
      </w:r>
      <w:r>
        <w:t xml:space="preserve"> для кластера 2.</w:t>
      </w:r>
    </w:p>
    <w:p w:rsidR="00523779" w:rsidRDefault="00523779" w:rsidP="00523779">
      <w:pPr>
        <w:spacing w:after="0" w:line="360" w:lineRule="auto"/>
        <w:jc w:val="center"/>
      </w:pPr>
      <w:r>
        <w:rPr>
          <w:noProof/>
          <w:lang w:eastAsia="ru-RU"/>
        </w:rPr>
        <w:drawing>
          <wp:inline distT="0" distB="0" distL="0" distR="0">
            <wp:extent cx="5120640" cy="2834640"/>
            <wp:effectExtent l="1905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5120640" cy="2834640"/>
                    </a:xfrm>
                    <a:prstGeom prst="rect">
                      <a:avLst/>
                    </a:prstGeom>
                    <a:noFill/>
                    <a:ln w="9525">
                      <a:noFill/>
                      <a:miter lim="800000"/>
                      <a:headEnd/>
                      <a:tailEnd/>
                    </a:ln>
                  </pic:spPr>
                </pic:pic>
              </a:graphicData>
            </a:graphic>
          </wp:inline>
        </w:drawing>
      </w:r>
    </w:p>
    <w:p w:rsidR="00532CD5" w:rsidRDefault="00523779" w:rsidP="00523779">
      <w:pPr>
        <w:spacing w:after="0"/>
        <w:jc w:val="center"/>
      </w:pPr>
      <w:r>
        <w:t xml:space="preserve">Рисунок 8 – Гистограмма распределения конформеров </w:t>
      </w:r>
    </w:p>
    <w:p w:rsidR="00532CD5" w:rsidRDefault="00523779" w:rsidP="00523779">
      <w:pPr>
        <w:spacing w:after="0"/>
        <w:jc w:val="center"/>
      </w:pPr>
      <w:r>
        <w:t xml:space="preserve">протонированного суматриптана по трем кластерам, </w:t>
      </w:r>
    </w:p>
    <w:p w:rsidR="00523779" w:rsidRDefault="00523779" w:rsidP="00523779">
      <w:pPr>
        <w:spacing w:after="0"/>
        <w:jc w:val="center"/>
      </w:pPr>
      <w:r>
        <w:t>демонстрирующая доминирование кластера 1.</w:t>
      </w:r>
    </w:p>
    <w:p w:rsidR="00532CD5" w:rsidRDefault="00532CD5" w:rsidP="00523779">
      <w:pPr>
        <w:spacing w:after="0"/>
        <w:jc w:val="center"/>
      </w:pPr>
    </w:p>
    <w:p w:rsidR="00523779" w:rsidRPr="00532CD5" w:rsidRDefault="00523779" w:rsidP="00523779">
      <w:pPr>
        <w:spacing w:after="0" w:line="360" w:lineRule="auto"/>
        <w:jc w:val="both"/>
      </w:pPr>
      <w:r>
        <w:tab/>
      </w:r>
      <w:r w:rsidR="00532CD5">
        <w:t xml:space="preserve">Доминирование Кластера 1, включающего 54,2% всех конформеров протонированного суматриптана, указывает на существование четко выраженной преобладающей конформации в заряженной форме молекулы. Это может быть критически важно для биологической активности. Жесткость молекулярной структуры, подтверждаемая низкими значениями </w:t>
      </w:r>
      <w:r w:rsidR="00532CD5">
        <w:rPr>
          <w:lang w:val="en-US"/>
        </w:rPr>
        <w:t>RMSD</w:t>
      </w:r>
      <w:r w:rsidR="00532CD5">
        <w:t>,</w:t>
      </w:r>
      <w:r w:rsidR="00532CD5" w:rsidRPr="00532CD5">
        <w:t xml:space="preserve"> </w:t>
      </w:r>
      <w:r w:rsidR="00532CD5">
        <w:t>обусловлен</w:t>
      </w:r>
      <w:r w:rsidR="00723EB3">
        <w:t>а образованием стабилизирующей</w:t>
      </w:r>
      <w:r w:rsidR="00532CD5">
        <w:t xml:space="preserve"> внутримолекулярной водородной связью</w:t>
      </w:r>
      <w:r w:rsidR="00723EB3">
        <w:t xml:space="preserve"> </w:t>
      </w:r>
      <m:oMath>
        <m:sSup>
          <m:sSupPr>
            <m:ctrlPr>
              <w:rPr>
                <w:rFonts w:ascii="Cambria Math" w:hAnsi="Cambria Math"/>
                <w:i/>
              </w:rPr>
            </m:ctrlPr>
          </m:sSupPr>
          <m:e>
            <m:r>
              <w:rPr>
                <w:rFonts w:ascii="Cambria Math" w:hAnsi="Cambria Math"/>
                <w:lang w:val="en-US"/>
              </w:rPr>
              <m:t>N</m:t>
            </m:r>
          </m:e>
          <m:sup>
            <m:r>
              <w:rPr>
                <w:rFonts w:ascii="Cambria Math" w:hAnsi="Cambria Math"/>
              </w:rPr>
              <m:t>+</m:t>
            </m:r>
          </m:sup>
        </m:sSup>
      </m:oMath>
      <w:r w:rsidR="00723EB3" w:rsidRPr="00A515D6">
        <w:rPr>
          <w:rFonts w:eastAsiaTheme="minorEastAsia"/>
          <w:i/>
        </w:rPr>
        <w:t>-</w:t>
      </w:r>
      <w:r w:rsidR="00723EB3" w:rsidRPr="00A515D6">
        <w:rPr>
          <w:rFonts w:eastAsiaTheme="minorEastAsia"/>
          <w:i/>
          <w:lang w:val="en-US"/>
        </w:rPr>
        <w:t>H</w:t>
      </w:r>
      <w:r w:rsidR="00723EB3" w:rsidRPr="00A515D6">
        <w:rPr>
          <w:rFonts w:eastAsiaTheme="minorEastAsia"/>
          <w:i/>
          <w:lang w:val="en-US"/>
        </w:rPr>
        <w:sym w:font="Symbol" w:char="F0D7"/>
      </w:r>
      <w:r w:rsidR="00723EB3" w:rsidRPr="00A515D6">
        <w:rPr>
          <w:rFonts w:eastAsiaTheme="minorEastAsia"/>
          <w:i/>
          <w:lang w:val="en-US"/>
        </w:rPr>
        <w:sym w:font="Symbol" w:char="F0D7"/>
      </w:r>
      <w:r w:rsidR="00723EB3" w:rsidRPr="00A515D6">
        <w:rPr>
          <w:rFonts w:eastAsiaTheme="minorEastAsia"/>
          <w:i/>
          <w:lang w:val="en-US"/>
        </w:rPr>
        <w:sym w:font="Symbol" w:char="F0D7"/>
      </w:r>
      <w:r w:rsidR="00723EB3">
        <w:rPr>
          <w:rFonts w:eastAsiaTheme="minorEastAsia"/>
          <w:i/>
          <w:lang w:val="en-US"/>
        </w:rPr>
        <w:t>O</w:t>
      </w:r>
      <w:r w:rsidR="00723EB3" w:rsidRPr="0075713B">
        <w:rPr>
          <w:rFonts w:eastAsiaTheme="minorEastAsia"/>
          <w:i/>
        </w:rPr>
        <w:t>-</w:t>
      </w:r>
      <w:r w:rsidR="00723EB3">
        <w:rPr>
          <w:rFonts w:eastAsiaTheme="minorEastAsia"/>
          <w:i/>
          <w:lang w:val="en-US"/>
        </w:rPr>
        <w:t>S</w:t>
      </w:r>
      <w:r w:rsidR="00723EB3">
        <w:rPr>
          <w:rFonts w:eastAsiaTheme="minorEastAsia"/>
          <w:i/>
        </w:rPr>
        <w:t xml:space="preserve">, </w:t>
      </w:r>
      <w:r w:rsidR="00723EB3">
        <w:rPr>
          <w:rFonts w:eastAsiaTheme="minorEastAsia"/>
        </w:rPr>
        <w:t>которая существенно ограничивает конформационную подвижность этиламинового фрагмента</w:t>
      </w:r>
      <w:r w:rsidR="00532CD5">
        <w:t>.</w:t>
      </w:r>
      <w:r w:rsidR="00723EB3">
        <w:t xml:space="preserve"> В свою очередь,</w:t>
      </w:r>
      <w:r w:rsidR="00532CD5">
        <w:t xml:space="preserve"> Кластер 2 может соответствовать </w:t>
      </w:r>
      <w:r w:rsidR="00723EB3">
        <w:t xml:space="preserve">либо </w:t>
      </w:r>
      <w:r w:rsidR="00532CD5">
        <w:t>высокоэнергетическим переходным состояниям</w:t>
      </w:r>
      <w:r w:rsidR="00723EB3">
        <w:t xml:space="preserve"> при конформационных переходах,</w:t>
      </w:r>
      <w:r w:rsidR="00532CD5">
        <w:t xml:space="preserve"> </w:t>
      </w:r>
      <w:r w:rsidR="00723EB3">
        <w:t>либо альтернативным стабильным</w:t>
      </w:r>
      <w:r w:rsidR="00532CD5">
        <w:t xml:space="preserve"> конформациям со специфической ориентацией функциональных групп</w:t>
      </w:r>
      <w:r w:rsidR="00723EB3">
        <w:t>,которые могут играть роль в процессах распознования и сязывания с различными подтипами рецепторов</w:t>
      </w:r>
      <w:r w:rsidR="00532CD5">
        <w:t>.</w:t>
      </w:r>
    </w:p>
    <w:p w:rsidR="000E2856" w:rsidRPr="0003132A" w:rsidRDefault="0003132A" w:rsidP="0003132A">
      <w:pPr>
        <w:pStyle w:val="2"/>
        <w:spacing w:before="0" w:line="360" w:lineRule="auto"/>
        <w:ind w:firstLine="709"/>
        <w:jc w:val="both"/>
        <w:rPr>
          <w:rFonts w:ascii="Times New Roman" w:hAnsi="Times New Roman" w:cs="Times New Roman"/>
          <w:color w:val="auto"/>
          <w:sz w:val="28"/>
          <w:szCs w:val="28"/>
        </w:rPr>
      </w:pPr>
      <w:bookmarkStart w:id="14" w:name="_Toc215743408"/>
      <w:r w:rsidRPr="0003132A">
        <w:rPr>
          <w:rFonts w:ascii="Times New Roman" w:hAnsi="Times New Roman" w:cs="Times New Roman"/>
          <w:color w:val="auto"/>
          <w:sz w:val="28"/>
          <w:szCs w:val="28"/>
        </w:rPr>
        <w:lastRenderedPageBreak/>
        <w:t>4.</w:t>
      </w:r>
      <w:r w:rsidR="000E2856" w:rsidRPr="0003132A">
        <w:rPr>
          <w:rFonts w:ascii="Times New Roman" w:hAnsi="Times New Roman" w:cs="Times New Roman"/>
          <w:color w:val="auto"/>
          <w:sz w:val="28"/>
          <w:szCs w:val="28"/>
        </w:rPr>
        <w:t>2. Квантово-химические расчеты с использованием ORCA</w:t>
      </w:r>
      <w:bookmarkEnd w:id="14"/>
    </w:p>
    <w:p w:rsidR="000E2856" w:rsidRDefault="00723EB3" w:rsidP="000E2856">
      <w:pPr>
        <w:spacing w:after="0" w:line="360" w:lineRule="auto"/>
        <w:ind w:firstLine="709"/>
        <w:jc w:val="both"/>
      </w:pPr>
      <w:r w:rsidRPr="00723EB3">
        <w:t>На втором этапе работы был выполнен расчёт колебательных спектров для наиболее стабильного конформера суматриптана, полученного в результате конформационного анализа. Для обеспечения высокой точности предсказания спектроскопических характеристик были использованы два различных подхода в рамках теории функционала плотности (DFT) в программе ORCA.</w:t>
      </w:r>
    </w:p>
    <w:p w:rsidR="00723EB3" w:rsidRDefault="00723EB3" w:rsidP="00723EB3">
      <w:pPr>
        <w:spacing w:after="0" w:line="360" w:lineRule="auto"/>
        <w:ind w:firstLine="709"/>
        <w:jc w:val="both"/>
      </w:pPr>
      <w:r>
        <w:t>Сначала для выбранной геометрии была проведена полная оптимизация структуры с целью нахождения равновесной конфигурации в газовой фазе. Оптимизация выполнялась на двух теоретических уровнях:</w:t>
      </w:r>
    </w:p>
    <w:p w:rsidR="00723EB3" w:rsidRDefault="00723EB3" w:rsidP="00723EB3">
      <w:pPr>
        <w:pStyle w:val="a3"/>
        <w:numPr>
          <w:ilvl w:val="0"/>
          <w:numId w:val="13"/>
        </w:numPr>
        <w:spacing w:after="0" w:line="360" w:lineRule="auto"/>
        <w:jc w:val="both"/>
      </w:pPr>
      <w:r>
        <w:t>PBE0/def2-TZVP: Гибридный функционал PBE0 в комбинации с тройным-дзета базисным набором def2-TZVP, включающим поляризационные функции.</w:t>
      </w:r>
    </w:p>
    <w:p w:rsidR="00723EB3" w:rsidRDefault="00723EB3" w:rsidP="00723EB3">
      <w:pPr>
        <w:pStyle w:val="a3"/>
        <w:numPr>
          <w:ilvl w:val="0"/>
          <w:numId w:val="13"/>
        </w:numPr>
        <w:spacing w:after="0" w:line="360" w:lineRule="auto"/>
        <w:jc w:val="both"/>
      </w:pPr>
      <w:r>
        <w:t>B3LYP/def2-TZVP: Широко используемый гибридный функционал B3LYP с тем же базисным набором def2-TZVP.</w:t>
      </w:r>
    </w:p>
    <w:p w:rsidR="00865AA3" w:rsidRPr="00865AA3" w:rsidRDefault="00865AA3" w:rsidP="003226AE">
      <w:pPr>
        <w:spacing w:after="0" w:line="360" w:lineRule="auto"/>
        <w:ind w:firstLine="709"/>
        <w:jc w:val="both"/>
      </w:pPr>
      <w:r w:rsidRPr="00865AA3">
        <w:t xml:space="preserve">Оба функционала относятся к четвертой ступени "лестницы Иакова" Пердью (гибридные функционалы) </w:t>
      </w:r>
      <w:r>
        <w:t>(рис. 1)</w:t>
      </w:r>
      <w:r w:rsidRPr="00865AA3">
        <w:t xml:space="preserve">, что обеспечивает более точное описание электронной структуры по сравнению с функционалами </w:t>
      </w:r>
      <w:r w:rsidRPr="00865AA3">
        <w:rPr>
          <w:lang w:val="en-US"/>
        </w:rPr>
        <w:t>GGA</w:t>
      </w:r>
      <w:r w:rsidRPr="00865AA3">
        <w:t xml:space="preserve"> (второй ступени) за счёт включения доли точного нелокального обмена.</w:t>
      </w:r>
    </w:p>
    <w:p w:rsidR="00723EB3" w:rsidRDefault="00723EB3" w:rsidP="003226AE">
      <w:pPr>
        <w:spacing w:after="0" w:line="360" w:lineRule="auto"/>
        <w:ind w:firstLine="709"/>
        <w:jc w:val="both"/>
      </w:pPr>
      <w:r>
        <w:t xml:space="preserve">Использование базиса def2-TZVP, более высокого по качеству по сравнению с def2-SVP, позволяет точнее описывать электронную структуру и, как следствие, колебательные свойства молекулы, особенно в области валентных колебаний связей </w:t>
      </w:r>
      <w:r w:rsidRPr="00723EB3">
        <w:rPr>
          <w:i/>
        </w:rPr>
        <w:t>C-H, N-H</w:t>
      </w:r>
      <w:r>
        <w:t xml:space="preserve"> и </w:t>
      </w:r>
      <w:r w:rsidRPr="00723EB3">
        <w:rPr>
          <w:i/>
        </w:rPr>
        <w:t>O-H</w:t>
      </w:r>
      <w:r>
        <w:t>.</w:t>
      </w:r>
    </w:p>
    <w:p w:rsidR="003226AE" w:rsidRPr="00F03F0E" w:rsidRDefault="00723EB3" w:rsidP="003226AE">
      <w:pPr>
        <w:spacing w:after="0" w:line="360" w:lineRule="auto"/>
        <w:ind w:firstLine="709"/>
        <w:jc w:val="both"/>
        <w:rPr>
          <w:noProof/>
          <w:lang w:eastAsia="ru-RU"/>
        </w:rPr>
      </w:pPr>
      <w:r>
        <w:t>После достижения сходимости оптимизации (отсутствие мнимых частот в расчёте колебаний) для каждой оптимизированной структуры был выполнен расчёт гармонических колебательных частот и со</w:t>
      </w:r>
      <w:r w:rsidR="002A18D0">
        <w:t>ответствующих интенсивностей в р</w:t>
      </w:r>
      <w:r>
        <w:t xml:space="preserve">амановском рассеянии на тех же теоретических уровнях (PBE0/def2-TZVP и B3LYP/def2-TZVP). Это позволило построить </w:t>
      </w:r>
      <w:r w:rsidR="002A18D0">
        <w:lastRenderedPageBreak/>
        <w:t>теоретические р</w:t>
      </w:r>
      <w:r>
        <w:t>амановс</w:t>
      </w:r>
      <w:r w:rsidR="002A18D0">
        <w:t>кие спектры, представленные на р</w:t>
      </w:r>
      <w:r>
        <w:t xml:space="preserve">исунке 9 </w:t>
      </w:r>
      <w:r w:rsidR="002A18D0">
        <w:t>(B3LYP/def2-TZVP) и р</w:t>
      </w:r>
      <w:r>
        <w:t>исунке 10 (PBE0/def2-TZVP).</w:t>
      </w:r>
      <w:r>
        <w:rPr>
          <w:noProof/>
          <w:lang w:eastAsia="ru-RU"/>
        </w:rPr>
        <w:t xml:space="preserve"> </w:t>
      </w:r>
    </w:p>
    <w:p w:rsidR="000E2856" w:rsidRDefault="00370869" w:rsidP="003226AE">
      <w:pPr>
        <w:spacing w:after="0" w:line="360" w:lineRule="auto"/>
        <w:jc w:val="center"/>
        <w:rPr>
          <w:noProof/>
          <w:lang w:eastAsia="ru-RU"/>
        </w:rPr>
      </w:pPr>
      <w:r>
        <w:rPr>
          <w:noProof/>
          <w:lang w:eastAsia="ru-RU"/>
        </w:rPr>
        <w:drawing>
          <wp:inline distT="0" distB="0" distL="0" distR="0">
            <wp:extent cx="5535613" cy="2415540"/>
            <wp:effectExtent l="19050" t="0" r="7937"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srcRect l="1604" t="5952" r="20783" b="22630"/>
                    <a:stretch>
                      <a:fillRect/>
                    </a:stretch>
                  </pic:blipFill>
                  <pic:spPr bwMode="auto">
                    <a:xfrm>
                      <a:off x="0" y="0"/>
                      <a:ext cx="5535613" cy="2415540"/>
                    </a:xfrm>
                    <a:prstGeom prst="rect">
                      <a:avLst/>
                    </a:prstGeom>
                    <a:noFill/>
                    <a:ln w="9525">
                      <a:noFill/>
                      <a:miter lim="800000"/>
                      <a:headEnd/>
                      <a:tailEnd/>
                    </a:ln>
                  </pic:spPr>
                </pic:pic>
              </a:graphicData>
            </a:graphic>
          </wp:inline>
        </w:drawing>
      </w:r>
    </w:p>
    <w:p w:rsidR="00B82C6A" w:rsidRPr="003226AE" w:rsidRDefault="00B82C6A" w:rsidP="003226AE">
      <w:pPr>
        <w:spacing w:after="0"/>
        <w:jc w:val="center"/>
      </w:pPr>
      <w:r>
        <w:rPr>
          <w:noProof/>
          <w:lang w:eastAsia="ru-RU"/>
        </w:rPr>
        <w:t xml:space="preserve">Рисунок 9 – Теоретический рамановский спектр суматриптана, рассчитанный на уровне </w:t>
      </w:r>
      <w:r>
        <w:t>B3LYP/def2-TZVP</w:t>
      </w:r>
      <w:r w:rsidR="00865AA3">
        <w:t>.</w:t>
      </w:r>
    </w:p>
    <w:p w:rsidR="003226AE" w:rsidRPr="003226AE" w:rsidRDefault="003226AE" w:rsidP="003226AE">
      <w:pPr>
        <w:spacing w:after="0"/>
        <w:jc w:val="center"/>
      </w:pPr>
    </w:p>
    <w:p w:rsidR="003226AE" w:rsidRPr="003226AE" w:rsidRDefault="003226AE" w:rsidP="00B82C6A">
      <w:pPr>
        <w:spacing w:after="0" w:line="360" w:lineRule="auto"/>
        <w:ind w:firstLine="709"/>
        <w:jc w:val="both"/>
        <w:rPr>
          <w:noProof/>
          <w:lang w:eastAsia="ru-RU"/>
        </w:rPr>
      </w:pPr>
    </w:p>
    <w:p w:rsidR="000313E4" w:rsidRDefault="00370869" w:rsidP="003226AE">
      <w:pPr>
        <w:spacing w:after="0" w:line="360" w:lineRule="auto"/>
        <w:jc w:val="center"/>
      </w:pPr>
      <w:r>
        <w:rPr>
          <w:noProof/>
          <w:lang w:eastAsia="ru-RU"/>
        </w:rPr>
        <w:drawing>
          <wp:inline distT="0" distB="0" distL="0" distR="0">
            <wp:extent cx="5607390" cy="24384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l="1604" t="6216" r="21039" b="22973"/>
                    <a:stretch>
                      <a:fillRect/>
                    </a:stretch>
                  </pic:blipFill>
                  <pic:spPr bwMode="auto">
                    <a:xfrm>
                      <a:off x="0" y="0"/>
                      <a:ext cx="5607390" cy="2438400"/>
                    </a:xfrm>
                    <a:prstGeom prst="rect">
                      <a:avLst/>
                    </a:prstGeom>
                    <a:noFill/>
                    <a:ln w="9525">
                      <a:noFill/>
                      <a:miter lim="800000"/>
                      <a:headEnd/>
                      <a:tailEnd/>
                    </a:ln>
                  </pic:spPr>
                </pic:pic>
              </a:graphicData>
            </a:graphic>
          </wp:inline>
        </w:drawing>
      </w:r>
    </w:p>
    <w:p w:rsidR="00B82C6A" w:rsidRDefault="00B82C6A" w:rsidP="003226AE">
      <w:pPr>
        <w:spacing w:after="0"/>
        <w:jc w:val="center"/>
      </w:pPr>
      <w:r>
        <w:t>Рисунок 10 – Теоретический рамановский спектр суматриптана, рассчитанный на уровне PBE0/def2-TZVP</w:t>
      </w:r>
    </w:p>
    <w:p w:rsidR="00B82C6A" w:rsidRDefault="00B82C6A" w:rsidP="003226AE">
      <w:pPr>
        <w:spacing w:after="0"/>
        <w:ind w:firstLine="709"/>
        <w:jc w:val="both"/>
      </w:pPr>
    </w:p>
    <w:p w:rsidR="00B82C6A" w:rsidRPr="00F03F0E" w:rsidRDefault="00B82C6A" w:rsidP="00B82C6A">
      <w:pPr>
        <w:spacing w:after="0" w:line="360" w:lineRule="auto"/>
        <w:ind w:firstLine="709"/>
        <w:jc w:val="both"/>
      </w:pPr>
      <w:r>
        <w:t xml:space="preserve">Качественный анализ рассчитанных спектров показывает их высокое сходство, что ожидаемо для гибридных функционалов, применяемых к органическим молекулам. Оба метода корректно воспроизводят основные спектральные особенности: в области 3000-2800 </w:t>
      </w:r>
      <m:oMath>
        <m:sSup>
          <m:sSupPr>
            <m:ctrlPr>
              <w:rPr>
                <w:rFonts w:ascii="Cambria Math" w:hAnsi="Cambria Math"/>
                <w:i/>
              </w:rPr>
            </m:ctrlPr>
          </m:sSupPr>
          <m:e>
            <m:r>
              <w:rPr>
                <w:rFonts w:ascii="Cambria Math" w:hAnsi="Cambria Math"/>
              </w:rPr>
              <m:t>см</m:t>
            </m:r>
          </m:e>
          <m:sup>
            <m:r>
              <w:rPr>
                <w:rFonts w:ascii="Cambria Math" w:hAnsi="Cambria Math"/>
              </w:rPr>
              <m:t>-1</m:t>
            </m:r>
          </m:sup>
        </m:sSup>
      </m:oMath>
      <w:r>
        <w:t xml:space="preserve"> наблюдаются полосы валентных колебаний связей </w:t>
      </w:r>
      <w:r w:rsidRPr="00B82C6A">
        <w:rPr>
          <w:i/>
        </w:rPr>
        <w:t>C-H</w:t>
      </w:r>
      <w:r>
        <w:t xml:space="preserve"> в метильных и метиленовых группах, а также ароматических </w:t>
      </w:r>
      <w:r w:rsidRPr="00B82C6A">
        <w:rPr>
          <w:i/>
        </w:rPr>
        <w:t>C-H</w:t>
      </w:r>
      <w:r>
        <w:t xml:space="preserve"> связей индольного ядра. Область 1700-1000 </w:t>
      </w:r>
      <m:oMath>
        <m:sSup>
          <m:sSupPr>
            <m:ctrlPr>
              <w:rPr>
                <w:rFonts w:ascii="Cambria Math" w:hAnsi="Cambria Math"/>
                <w:i/>
              </w:rPr>
            </m:ctrlPr>
          </m:sSupPr>
          <m:e>
            <m:r>
              <w:rPr>
                <w:rFonts w:ascii="Cambria Math" w:hAnsi="Cambria Math"/>
              </w:rPr>
              <m:t>см</m:t>
            </m:r>
          </m:e>
          <m:sup>
            <m:r>
              <w:rPr>
                <w:rFonts w:ascii="Cambria Math" w:hAnsi="Cambria Math"/>
              </w:rPr>
              <m:t>-1</m:t>
            </m:r>
          </m:sup>
        </m:sSup>
      </m:oMath>
      <w:r>
        <w:rPr>
          <w:rFonts w:eastAsiaTheme="minorEastAsia"/>
        </w:rPr>
        <w:t xml:space="preserve"> </w:t>
      </w:r>
      <w:r>
        <w:lastRenderedPageBreak/>
        <w:t xml:space="preserve">содержит сложный набор полос, соответствующих валентным колебаниям связей </w:t>
      </w:r>
      <w:r w:rsidRPr="00B82C6A">
        <w:rPr>
          <w:i/>
        </w:rPr>
        <w:t>C-C</w:t>
      </w:r>
      <w:r>
        <w:t xml:space="preserve"> и </w:t>
      </w:r>
      <w:r w:rsidRPr="00B82C6A">
        <w:rPr>
          <w:i/>
        </w:rPr>
        <w:t>C-N</w:t>
      </w:r>
      <w:r>
        <w:t xml:space="preserve"> ароматического кольца, деформационным колебаниям </w:t>
      </w:r>
      <m:oMath>
        <m:sSub>
          <m:sSubPr>
            <m:ctrlPr>
              <w:rPr>
                <w:rFonts w:ascii="Cambria Math" w:hAnsi="Cambria Math"/>
                <w:i/>
              </w:rPr>
            </m:ctrlPr>
          </m:sSubPr>
          <m:e>
            <m:r>
              <w:rPr>
                <w:rFonts w:ascii="Cambria Math" w:hAnsi="Cambria Math"/>
                <w:lang w:val="en-US"/>
              </w:rPr>
              <m:t>CH</m:t>
            </m:r>
          </m:e>
          <m:sub>
            <m:r>
              <w:rPr>
                <w:rFonts w:ascii="Cambria Math" w:hAnsi="Cambria Math"/>
              </w:rPr>
              <m:t>2</m:t>
            </m:r>
          </m:sub>
        </m:sSub>
      </m:oMath>
      <w:r>
        <w:t xml:space="preserve">- и </w:t>
      </w:r>
      <m:oMath>
        <m:sSub>
          <m:sSubPr>
            <m:ctrlPr>
              <w:rPr>
                <w:rFonts w:ascii="Cambria Math" w:hAnsi="Cambria Math"/>
                <w:i/>
              </w:rPr>
            </m:ctrlPr>
          </m:sSubPr>
          <m:e>
            <m:r>
              <w:rPr>
                <w:rFonts w:ascii="Cambria Math" w:hAnsi="Cambria Math"/>
                <w:lang w:val="en-US"/>
              </w:rPr>
              <m:t>CH</m:t>
            </m:r>
          </m:e>
          <m:sub>
            <m:r>
              <w:rPr>
                <w:rFonts w:ascii="Cambria Math" w:hAnsi="Cambria Math"/>
              </w:rPr>
              <m:t>3</m:t>
            </m:r>
          </m:sub>
        </m:sSub>
      </m:oMath>
      <w:r>
        <w:t xml:space="preserve">-групп, а также валентным колебаниям связей </w:t>
      </w:r>
      <w:r w:rsidRPr="00B82C6A">
        <w:rPr>
          <w:i/>
        </w:rPr>
        <w:t>S=O</w:t>
      </w:r>
      <w:r>
        <w:t xml:space="preserve"> сульфонамидной группы (~1350-1150 </w:t>
      </w:r>
      <m:oMath>
        <m:sSup>
          <m:sSupPr>
            <m:ctrlPr>
              <w:rPr>
                <w:rFonts w:ascii="Cambria Math" w:hAnsi="Cambria Math"/>
                <w:i/>
              </w:rPr>
            </m:ctrlPr>
          </m:sSupPr>
          <m:e>
            <m:r>
              <w:rPr>
                <w:rFonts w:ascii="Cambria Math" w:hAnsi="Cambria Math"/>
              </w:rPr>
              <m:t>см</m:t>
            </m:r>
          </m:e>
          <m:sup>
            <m:r>
              <w:rPr>
                <w:rFonts w:ascii="Cambria Math" w:hAnsi="Cambria Math"/>
              </w:rPr>
              <m:t>-1</m:t>
            </m:r>
          </m:sup>
        </m:sSup>
      </m:oMath>
      <w:r>
        <w:t>).</w:t>
      </w:r>
      <w:r w:rsidRPr="00B82C6A">
        <w:t xml:space="preserve"> </w:t>
      </w:r>
      <w:r>
        <w:t xml:space="preserve">В низкочастотной области (&lt; 1000 </w:t>
      </w:r>
      <m:oMath>
        <m:sSup>
          <m:sSupPr>
            <m:ctrlPr>
              <w:rPr>
                <w:rFonts w:ascii="Cambria Math" w:hAnsi="Cambria Math"/>
                <w:i/>
              </w:rPr>
            </m:ctrlPr>
          </m:sSupPr>
          <m:e>
            <m:r>
              <w:rPr>
                <w:rFonts w:ascii="Cambria Math" w:hAnsi="Cambria Math"/>
              </w:rPr>
              <m:t>см</m:t>
            </m:r>
          </m:e>
          <m:sup>
            <m:r>
              <w:rPr>
                <w:rFonts w:ascii="Cambria Math" w:hAnsi="Cambria Math"/>
              </w:rPr>
              <m:t>-1</m:t>
            </m:r>
          </m:sup>
        </m:sSup>
      </m:oMath>
      <w:r>
        <w:t>) расположены полосы, отвечающие деформационным колебаниям скелета молекулы и «дыханию» ароматических циклов.</w:t>
      </w:r>
    </w:p>
    <w:p w:rsidR="004B5115" w:rsidRPr="00F03F0E" w:rsidRDefault="00B82C6A" w:rsidP="00B82C6A">
      <w:pPr>
        <w:spacing w:after="0" w:line="360" w:lineRule="auto"/>
        <w:ind w:firstLine="709"/>
        <w:jc w:val="both"/>
      </w:pPr>
      <w:r>
        <w:t xml:space="preserve">Количественное сравнение выявляет систематическое различие: частоты, рассчитанные с функционалом PBE0, примерно на 20-40 </w:t>
      </w:r>
      <m:oMath>
        <m:sSup>
          <m:sSupPr>
            <m:ctrlPr>
              <w:rPr>
                <w:rFonts w:ascii="Cambria Math" w:hAnsi="Cambria Math"/>
                <w:i/>
              </w:rPr>
            </m:ctrlPr>
          </m:sSupPr>
          <m:e>
            <m:r>
              <w:rPr>
                <w:rFonts w:ascii="Cambria Math" w:hAnsi="Cambria Math"/>
              </w:rPr>
              <m:t>см</m:t>
            </m:r>
          </m:e>
          <m:sup>
            <m:r>
              <w:rPr>
                <w:rFonts w:ascii="Cambria Math" w:hAnsi="Cambria Math"/>
              </w:rPr>
              <m:t>-1</m:t>
            </m:r>
          </m:sup>
        </m:sSup>
      </m:oMath>
      <w:r>
        <w:t xml:space="preserve"> выше, чем частоты, полученные с B3LYP, по всему спектральному диапазону. Это согласуется с известной в литературе тенденцией: B3LYP часто слегка занижает колебательные частоты, в то время как PBE0 может их завышать. Масштабирующие коэффициенты для этих методов обычно составляют ~0.97 для B3LYP и ~0.95-0.96 для PBE0 при использовании базисных наборов типа def2-TZVP для точного сравнения с экспериментом.</w:t>
      </w:r>
    </w:p>
    <w:p w:rsidR="00B82C6A" w:rsidRPr="005C1C77" w:rsidRDefault="003226AE" w:rsidP="00B82C6A">
      <w:pPr>
        <w:spacing w:after="0" w:line="360" w:lineRule="auto"/>
        <w:ind w:firstLine="709"/>
        <w:jc w:val="both"/>
      </w:pPr>
      <w:r w:rsidRPr="003226AE">
        <w:t>Для валидации теоретических моделей были использованы экспериментальны</w:t>
      </w:r>
      <w:r w:rsidR="00370869">
        <w:t>е р</w:t>
      </w:r>
      <w:r w:rsidRPr="003226AE">
        <w:t>амановские спектры суматриптана</w:t>
      </w:r>
      <w:r w:rsidR="00370869">
        <w:t>.</w:t>
      </w:r>
      <w:r w:rsidRPr="003226AE">
        <w:t xml:space="preserve"> </w:t>
      </w:r>
      <w:r w:rsidR="005C1C77" w:rsidRPr="005C1C77">
        <w:t>Для корректного сопоставления гармонических расчётных частот с экспериментальными (учитывающими ангармоничность) применены масштабирующие коэффициенты, характе</w:t>
      </w:r>
      <w:r w:rsidR="005C1C77">
        <w:t>рные для каждого метода: 0</w:t>
      </w:r>
      <w:r w:rsidR="005C1C77" w:rsidRPr="005C1C77">
        <w:t>,</w:t>
      </w:r>
      <w:r w:rsidR="005C1C77">
        <w:t>95 для PBE0/def2-TZVP и 0</w:t>
      </w:r>
      <w:r w:rsidR="005C1C77" w:rsidRPr="005C1C77">
        <w:t>,96 для B3LYP/def2-TZVP. После масштабирования оба теоретических спектра качестве</w:t>
      </w:r>
      <w:r w:rsidR="005C1C77">
        <w:t>нно согласуются с экспериментом</w:t>
      </w:r>
      <w:r w:rsidR="005C1C77" w:rsidRPr="005C1C77">
        <w:t xml:space="preserve"> (</w:t>
      </w:r>
      <w:r w:rsidR="005C1C77">
        <w:t>рис. 11 и 12</w:t>
      </w:r>
      <w:r w:rsidR="005C1C77" w:rsidRPr="005C1C77">
        <w:t>)</w:t>
      </w:r>
      <w:r w:rsidR="005C1C77">
        <w:t>.</w:t>
      </w:r>
    </w:p>
    <w:p w:rsidR="005C1C77" w:rsidRDefault="005C1C77" w:rsidP="005C1C77">
      <w:pPr>
        <w:spacing w:after="0" w:line="360" w:lineRule="auto"/>
        <w:jc w:val="center"/>
      </w:pPr>
      <w:r>
        <w:rPr>
          <w:noProof/>
          <w:lang w:eastAsia="ru-RU"/>
        </w:rPr>
        <w:lastRenderedPageBreak/>
        <w:drawing>
          <wp:inline distT="0" distB="0" distL="0" distR="0">
            <wp:extent cx="5940425" cy="3329401"/>
            <wp:effectExtent l="1905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a:stretch>
                      <a:fillRect/>
                    </a:stretch>
                  </pic:blipFill>
                  <pic:spPr bwMode="auto">
                    <a:xfrm>
                      <a:off x="0" y="0"/>
                      <a:ext cx="5940425" cy="3329401"/>
                    </a:xfrm>
                    <a:prstGeom prst="rect">
                      <a:avLst/>
                    </a:prstGeom>
                    <a:noFill/>
                    <a:ln w="9525">
                      <a:noFill/>
                      <a:miter lim="800000"/>
                      <a:headEnd/>
                      <a:tailEnd/>
                    </a:ln>
                  </pic:spPr>
                </pic:pic>
              </a:graphicData>
            </a:graphic>
          </wp:inline>
        </w:drawing>
      </w:r>
    </w:p>
    <w:p w:rsidR="005C1C77" w:rsidRDefault="005C1C77" w:rsidP="005C1C77">
      <w:pPr>
        <w:spacing w:after="0"/>
        <w:jc w:val="center"/>
        <w:rPr>
          <w:rFonts w:eastAsiaTheme="minorEastAsia"/>
        </w:rPr>
      </w:pPr>
      <w:r>
        <w:t xml:space="preserve">Рисунок 11 – </w:t>
      </w:r>
      <w:r w:rsidRPr="005C1C77">
        <w:t>Сравнение экспериментального и теоретических (PBE0/def2-TZVP и B3LYP/def2-TZVP) рамановских с</w:t>
      </w:r>
      <w:r>
        <w:t>пектров суматриптана в области -100-1800 </w:t>
      </w:r>
      <m:oMath>
        <m:sSup>
          <m:sSupPr>
            <m:ctrlPr>
              <w:rPr>
                <w:rFonts w:ascii="Cambria Math" w:hAnsi="Cambria Math"/>
                <w:i/>
              </w:rPr>
            </m:ctrlPr>
          </m:sSupPr>
          <m:e>
            <m:r>
              <w:rPr>
                <w:rFonts w:ascii="Cambria Math" w:hAnsi="Cambria Math"/>
              </w:rPr>
              <m:t>см</m:t>
            </m:r>
          </m:e>
          <m:sup>
            <m:r>
              <w:rPr>
                <w:rFonts w:ascii="Cambria Math" w:hAnsi="Cambria Math"/>
              </w:rPr>
              <m:t>-1</m:t>
            </m:r>
          </m:sup>
        </m:sSup>
      </m:oMath>
    </w:p>
    <w:p w:rsidR="005C1C77" w:rsidRDefault="005C1C77" w:rsidP="005C1C77">
      <w:pPr>
        <w:spacing w:after="0"/>
        <w:jc w:val="center"/>
        <w:rPr>
          <w:rFonts w:eastAsiaTheme="minorEastAsia"/>
        </w:rPr>
      </w:pPr>
    </w:p>
    <w:p w:rsidR="005C1C77" w:rsidRDefault="005C1C77" w:rsidP="005C1C77">
      <w:pPr>
        <w:spacing w:after="0" w:line="360" w:lineRule="auto"/>
        <w:jc w:val="center"/>
      </w:pPr>
      <w:r>
        <w:rPr>
          <w:noProof/>
          <w:lang w:eastAsia="ru-RU"/>
        </w:rPr>
        <w:drawing>
          <wp:inline distT="0" distB="0" distL="0" distR="0">
            <wp:extent cx="5940425" cy="3370651"/>
            <wp:effectExtent l="1905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5940425" cy="3370651"/>
                    </a:xfrm>
                    <a:prstGeom prst="rect">
                      <a:avLst/>
                    </a:prstGeom>
                    <a:noFill/>
                    <a:ln w="9525">
                      <a:noFill/>
                      <a:miter lim="800000"/>
                      <a:headEnd/>
                      <a:tailEnd/>
                    </a:ln>
                  </pic:spPr>
                </pic:pic>
              </a:graphicData>
            </a:graphic>
          </wp:inline>
        </w:drawing>
      </w:r>
    </w:p>
    <w:p w:rsidR="005C1C77" w:rsidRDefault="005C1C77" w:rsidP="005C1C77">
      <w:pPr>
        <w:spacing w:after="0"/>
        <w:jc w:val="center"/>
        <w:rPr>
          <w:rFonts w:eastAsiaTheme="minorEastAsia"/>
        </w:rPr>
      </w:pPr>
      <w:r>
        <w:t xml:space="preserve">Рисунок 12 – </w:t>
      </w:r>
      <w:r w:rsidRPr="005C1C77">
        <w:t>Сравнение экспериментального и теоретических (PBE0/def2-TZVP и B3LYP/def2-TZVP) рамановских с</w:t>
      </w:r>
      <w:r>
        <w:t>пектров суматриптана в области 1800-4000 </w:t>
      </w:r>
      <m:oMath>
        <m:sSup>
          <m:sSupPr>
            <m:ctrlPr>
              <w:rPr>
                <w:rFonts w:ascii="Cambria Math" w:hAnsi="Cambria Math"/>
                <w:i/>
              </w:rPr>
            </m:ctrlPr>
          </m:sSupPr>
          <m:e>
            <m:r>
              <w:rPr>
                <w:rFonts w:ascii="Cambria Math" w:hAnsi="Cambria Math"/>
              </w:rPr>
              <m:t>см</m:t>
            </m:r>
          </m:e>
          <m:sup>
            <m:r>
              <w:rPr>
                <w:rFonts w:ascii="Cambria Math" w:hAnsi="Cambria Math"/>
              </w:rPr>
              <m:t>-1</m:t>
            </m:r>
          </m:sup>
        </m:sSup>
      </m:oMath>
    </w:p>
    <w:p w:rsidR="005C1C77" w:rsidRDefault="005C1C77" w:rsidP="005C1C77">
      <w:pPr>
        <w:spacing w:after="0"/>
        <w:jc w:val="center"/>
        <w:rPr>
          <w:rFonts w:eastAsiaTheme="minorEastAsia"/>
        </w:rPr>
      </w:pPr>
    </w:p>
    <w:p w:rsidR="003226AE" w:rsidRPr="003226AE" w:rsidRDefault="003226AE" w:rsidP="005C1C77">
      <w:pPr>
        <w:spacing w:after="0" w:line="360" w:lineRule="auto"/>
        <w:ind w:firstLine="708"/>
        <w:jc w:val="both"/>
      </w:pPr>
      <w:r w:rsidRPr="003226AE">
        <w:t xml:space="preserve">Область валентных колебаний </w:t>
      </w:r>
      <w:r w:rsidRPr="005C1C77">
        <w:rPr>
          <w:i/>
          <w:lang w:val="en-US"/>
        </w:rPr>
        <w:t>C</w:t>
      </w:r>
      <w:r w:rsidRPr="005C1C77">
        <w:rPr>
          <w:i/>
        </w:rPr>
        <w:t>-</w:t>
      </w:r>
      <w:r w:rsidRPr="005C1C77">
        <w:rPr>
          <w:i/>
          <w:lang w:val="en-US"/>
        </w:rPr>
        <w:t>H</w:t>
      </w:r>
      <w:r w:rsidRPr="005C1C77">
        <w:rPr>
          <w:i/>
        </w:rPr>
        <w:t>/</w:t>
      </w:r>
      <w:r w:rsidRPr="005C1C77">
        <w:rPr>
          <w:i/>
          <w:lang w:val="en-US"/>
        </w:rPr>
        <w:t>N</w:t>
      </w:r>
      <w:r w:rsidRPr="005C1C77">
        <w:rPr>
          <w:i/>
        </w:rPr>
        <w:t>-</w:t>
      </w:r>
      <w:r w:rsidRPr="005C1C77">
        <w:rPr>
          <w:i/>
          <w:lang w:val="en-US"/>
        </w:rPr>
        <w:t>H</w:t>
      </w:r>
      <w:r w:rsidR="005C1C77">
        <w:t xml:space="preserve"> (2800-</w:t>
      </w:r>
      <w:r w:rsidRPr="003226AE">
        <w:t xml:space="preserve">3200 </w:t>
      </w:r>
      <m:oMath>
        <m:sSup>
          <m:sSupPr>
            <m:ctrlPr>
              <w:rPr>
                <w:rFonts w:ascii="Cambria Math" w:hAnsi="Cambria Math"/>
                <w:i/>
              </w:rPr>
            </m:ctrlPr>
          </m:sSupPr>
          <m:e>
            <m:r>
              <w:rPr>
                <w:rFonts w:ascii="Cambria Math" w:hAnsi="Cambria Math"/>
              </w:rPr>
              <m:t>см</m:t>
            </m:r>
          </m:e>
          <m:sup>
            <m:r>
              <w:rPr>
                <w:rFonts w:ascii="Cambria Math" w:hAnsi="Cambria Math"/>
              </w:rPr>
              <m:t>-1</m:t>
            </m:r>
          </m:sup>
        </m:sSup>
      </m:oMath>
      <w:r w:rsidRPr="003226AE">
        <w:t xml:space="preserve">): Оба функционала удовлетворительно воспроизводят сложную структуру полос в </w:t>
      </w:r>
      <w:r w:rsidRPr="003226AE">
        <w:lastRenderedPageBreak/>
        <w:t xml:space="preserve">этой области. Интенсивности и положение пиков, предсказанные </w:t>
      </w:r>
      <w:r w:rsidRPr="003226AE">
        <w:rPr>
          <w:lang w:val="en-US"/>
        </w:rPr>
        <w:t>PBE</w:t>
      </w:r>
      <w:r w:rsidRPr="003226AE">
        <w:t xml:space="preserve">0, после масштабирования оказываются ближе к экспериментальным значениям, чем предсказания </w:t>
      </w:r>
      <w:r w:rsidRPr="003226AE">
        <w:rPr>
          <w:lang w:val="en-US"/>
        </w:rPr>
        <w:t>B</w:t>
      </w:r>
      <w:r w:rsidRPr="003226AE">
        <w:t>3</w:t>
      </w:r>
      <w:r w:rsidRPr="003226AE">
        <w:rPr>
          <w:lang w:val="en-US"/>
        </w:rPr>
        <w:t>LYP</w:t>
      </w:r>
      <w:r w:rsidRPr="003226AE">
        <w:t xml:space="preserve">, что может указывать на несколько лучшую </w:t>
      </w:r>
      <w:r w:rsidR="005C1C77">
        <w:t xml:space="preserve">производительность </w:t>
      </w:r>
      <w:r w:rsidRPr="003226AE">
        <w:t xml:space="preserve">функционала </w:t>
      </w:r>
      <w:r w:rsidRPr="003226AE">
        <w:rPr>
          <w:lang w:val="en-US"/>
        </w:rPr>
        <w:t>PBE</w:t>
      </w:r>
      <w:r w:rsidRPr="003226AE">
        <w:t>0 для описания колебаний, связанных с лёгкими атомами.</w:t>
      </w:r>
    </w:p>
    <w:p w:rsidR="003226AE" w:rsidRPr="003226AE" w:rsidRDefault="003226AE" w:rsidP="005C1C77">
      <w:pPr>
        <w:spacing w:after="0" w:line="360" w:lineRule="auto"/>
        <w:ind w:firstLine="709"/>
        <w:jc w:val="both"/>
      </w:pPr>
      <w:r w:rsidRPr="003226AE">
        <w:t>Об</w:t>
      </w:r>
      <w:r w:rsidR="005C1C77">
        <w:t>ласть «отпечатков пальцев» (400-</w:t>
      </w:r>
      <w:r w:rsidRPr="003226AE">
        <w:t xml:space="preserve">1800 </w:t>
      </w:r>
      <m:oMath>
        <m:sSup>
          <m:sSupPr>
            <m:ctrlPr>
              <w:rPr>
                <w:rFonts w:ascii="Cambria Math" w:hAnsi="Cambria Math"/>
                <w:i/>
              </w:rPr>
            </m:ctrlPr>
          </m:sSupPr>
          <m:e>
            <m:r>
              <w:rPr>
                <w:rFonts w:ascii="Cambria Math" w:hAnsi="Cambria Math"/>
              </w:rPr>
              <m:t>см</m:t>
            </m:r>
          </m:e>
          <m:sup>
            <m:r>
              <w:rPr>
                <w:rFonts w:ascii="Cambria Math" w:hAnsi="Cambria Math"/>
              </w:rPr>
              <m:t>-1</m:t>
            </m:r>
          </m:sup>
        </m:sSup>
      </m:oMath>
      <w:r w:rsidRPr="003226AE">
        <w:t xml:space="preserve">): В этой информативной области оба метода успешно идентифицируют большинство характерных пиков, наблюдаемых в эксперименте. Расхождения в основном касаются точного положения некоторых слабых полос и их относительных интенсивностей. </w:t>
      </w:r>
      <w:r w:rsidRPr="003226AE">
        <w:rPr>
          <w:lang w:val="en-US"/>
        </w:rPr>
        <w:t>PBE</w:t>
      </w:r>
      <w:r w:rsidRPr="003226AE">
        <w:t xml:space="preserve">0, как правило, даёт несколько лучшее согласие по положению пиков, соответствующих валентным колебаниям </w:t>
      </w:r>
      <w:r w:rsidRPr="005C1C77">
        <w:rPr>
          <w:i/>
          <w:lang w:val="en-US"/>
        </w:rPr>
        <w:t>S</w:t>
      </w:r>
      <w:r w:rsidRPr="005C1C77">
        <w:rPr>
          <w:i/>
        </w:rPr>
        <w:t>=</w:t>
      </w:r>
      <w:r w:rsidRPr="005C1C77">
        <w:rPr>
          <w:i/>
          <w:lang w:val="en-US"/>
        </w:rPr>
        <w:t>O</w:t>
      </w:r>
      <w:r w:rsidRPr="003226AE">
        <w:t xml:space="preserve"> и </w:t>
      </w:r>
      <w:r w:rsidRPr="005C1C77">
        <w:rPr>
          <w:i/>
          <w:lang w:val="en-US"/>
        </w:rPr>
        <w:t>C</w:t>
      </w:r>
      <w:r w:rsidRPr="005C1C77">
        <w:rPr>
          <w:i/>
        </w:rPr>
        <w:t>-</w:t>
      </w:r>
      <w:r w:rsidRPr="005C1C77">
        <w:rPr>
          <w:i/>
          <w:lang w:val="en-US"/>
        </w:rPr>
        <w:t>N</w:t>
      </w:r>
      <w:r w:rsidRPr="003226AE">
        <w:t xml:space="preserve"> связей.</w:t>
      </w:r>
    </w:p>
    <w:p w:rsidR="003226AE" w:rsidRPr="005C1C77" w:rsidRDefault="003226AE" w:rsidP="005C1C77">
      <w:pPr>
        <w:spacing w:after="0" w:line="360" w:lineRule="auto"/>
        <w:ind w:firstLine="709"/>
        <w:jc w:val="both"/>
      </w:pPr>
      <w:r w:rsidRPr="003226AE">
        <w:t xml:space="preserve">Низкочастотная область (&lt; 400 </w:t>
      </w:r>
      <m:oMath>
        <m:sSup>
          <m:sSupPr>
            <m:ctrlPr>
              <w:rPr>
                <w:rFonts w:ascii="Cambria Math" w:hAnsi="Cambria Math"/>
                <w:i/>
              </w:rPr>
            </m:ctrlPr>
          </m:sSupPr>
          <m:e>
            <m:r>
              <w:rPr>
                <w:rFonts w:ascii="Cambria Math" w:hAnsi="Cambria Math"/>
              </w:rPr>
              <m:t>см</m:t>
            </m:r>
          </m:e>
          <m:sup>
            <m:r>
              <w:rPr>
                <w:rFonts w:ascii="Cambria Math" w:hAnsi="Cambria Math"/>
              </w:rPr>
              <m:t>-1</m:t>
            </m:r>
          </m:sup>
        </m:sSup>
      </m:oMath>
      <w:r w:rsidRPr="003226AE">
        <w:t>): Экспериментальные данные в этом регионе имеют высокий уровень шума, что затрудняет детальное сравнение. Тем не менее, оба теоретических спектра показывают наличие плотной группы полос, что качественно согласуется с экспериментом.</w:t>
      </w:r>
    </w:p>
    <w:p w:rsidR="003226AE" w:rsidRPr="005C1C77" w:rsidRDefault="003226AE" w:rsidP="005C1C77">
      <w:pPr>
        <w:spacing w:after="0" w:line="360" w:lineRule="auto"/>
        <w:ind w:firstLine="709"/>
        <w:jc w:val="both"/>
      </w:pPr>
      <w:r w:rsidRPr="003226AE">
        <w:t>Таким образом, комбинированное использование методов PBE0/def2-TZVP и B3LYP/def2-TZVP позволило не только получить самосогласованные теоретические спектры, но и провести их критическое сравнение между собой и с экспериментальными данными. Оба метода продемонстрировали хорошую применимость для моделировани</w:t>
      </w:r>
      <w:r w:rsidR="005C1C77">
        <w:t>я р</w:t>
      </w:r>
      <w:r w:rsidRPr="003226AE">
        <w:t>амановских спектров суматриптана, при этом функционал PBE0 показал несколько более точное предсказание абсолютных значений</w:t>
      </w:r>
      <w:r w:rsidR="005C1C77">
        <w:t xml:space="preserve"> частот. Полученные результаты –</w:t>
      </w:r>
      <w:r w:rsidRPr="003226AE">
        <w:t xml:space="preserve"> оптимизированные геометрии и теоретичес</w:t>
      </w:r>
      <w:r w:rsidR="005C1C77">
        <w:t>кие спектры с оценкой точности –</w:t>
      </w:r>
      <w:r w:rsidRPr="003226AE">
        <w:t xml:space="preserve"> формируют надёжную основу для интерпретации спектроскопических данных и дальнейшего компьютерного моделирования взаимодействий суматриптана с биологическими мишенями.</w:t>
      </w:r>
    </w:p>
    <w:p w:rsidR="00284C46" w:rsidRDefault="00284C46">
      <w:pPr>
        <w:spacing w:line="259" w:lineRule="auto"/>
      </w:pPr>
      <w:r>
        <w:br w:type="page"/>
      </w:r>
    </w:p>
    <w:p w:rsidR="00284C46" w:rsidRPr="00284C46" w:rsidRDefault="00284C46" w:rsidP="00284C46">
      <w:pPr>
        <w:pStyle w:val="1"/>
        <w:spacing w:before="0" w:line="360" w:lineRule="auto"/>
        <w:jc w:val="center"/>
        <w:rPr>
          <w:rFonts w:ascii="Times New Roman" w:hAnsi="Times New Roman" w:cs="Times New Roman"/>
          <w:b w:val="0"/>
          <w:color w:val="000000" w:themeColor="text1"/>
        </w:rPr>
      </w:pPr>
      <w:bookmarkStart w:id="15" w:name="_Toc215743409"/>
      <w:r w:rsidRPr="00284C46">
        <w:rPr>
          <w:rFonts w:ascii="Times New Roman" w:hAnsi="Times New Roman" w:cs="Times New Roman"/>
          <w:b w:val="0"/>
          <w:color w:val="000000" w:themeColor="text1"/>
        </w:rPr>
        <w:lastRenderedPageBreak/>
        <w:t>ЗАКЛЮЧЕНИЕ</w:t>
      </w:r>
      <w:bookmarkEnd w:id="15"/>
    </w:p>
    <w:p w:rsidR="00A70934" w:rsidRPr="00A70934" w:rsidRDefault="00A70934" w:rsidP="00A70934">
      <w:pPr>
        <w:spacing w:after="0" w:line="360" w:lineRule="auto"/>
        <w:ind w:firstLine="709"/>
        <w:jc w:val="both"/>
        <w:rPr>
          <w:rFonts w:cs="Times New Roman"/>
        </w:rPr>
      </w:pPr>
      <w:r w:rsidRPr="00A70934">
        <w:rPr>
          <w:rFonts w:cs="Times New Roman"/>
        </w:rPr>
        <w:t>В рамках выполнения работы по программе INTEREST были применены методы вычислительной химии для исследования молекулы суматриптана и её протонированной формы. Проведённый конформационный анализ с помощью CREST (GFN2-xTB) показал существенное различие в количестве низкоэнергетических структур: для нейтральной формы их найдено значительно больше, чем для протонированной. Это указывает на различную гибкость молекулы в разных зарядовых состояниях.</w:t>
      </w:r>
    </w:p>
    <w:p w:rsidR="00A70934" w:rsidRPr="00A70934" w:rsidRDefault="00A70934" w:rsidP="00A70934">
      <w:pPr>
        <w:spacing w:after="0" w:line="360" w:lineRule="auto"/>
        <w:ind w:firstLine="709"/>
        <w:jc w:val="both"/>
        <w:rPr>
          <w:rFonts w:cs="Times New Roman"/>
        </w:rPr>
      </w:pPr>
      <w:r w:rsidRPr="00A70934">
        <w:rPr>
          <w:rFonts w:cs="Times New Roman"/>
        </w:rPr>
        <w:t>Попытка автоматической кластеризации (K-means, PCA) выявила потенциальные группировки конформеров, однако результаты, особенно для протонированной формы, следует интерпретировать с осторожностью. Для этой формы количество полученных структур ограничено, а их пространственное распределение не позволяет сделать однозначных выводов о чётком разделении на конформационные семейства.</w:t>
      </w:r>
    </w:p>
    <w:p w:rsidR="00A70934" w:rsidRPr="00A70934" w:rsidRDefault="00A70934" w:rsidP="00A70934">
      <w:pPr>
        <w:spacing w:after="0" w:line="360" w:lineRule="auto"/>
        <w:ind w:firstLine="709"/>
        <w:jc w:val="both"/>
        <w:rPr>
          <w:rFonts w:cs="Times New Roman"/>
        </w:rPr>
      </w:pPr>
      <w:r w:rsidRPr="00A70934">
        <w:rPr>
          <w:rFonts w:cs="Times New Roman"/>
        </w:rPr>
        <w:t>В ходе работы было выполнено сравнение основных конформаций, выделенных из конформационного анализа для обеих форм. Важно отметить, что для строгого утверждения о принадлежности этих структур к минимумам на потенциальной поверхности энергии требуется проведение дополнительной проверки, включающе</w:t>
      </w:r>
      <w:r>
        <w:rPr>
          <w:rFonts w:cs="Times New Roman"/>
        </w:rPr>
        <w:t>й расчёт колебательных частот (р</w:t>
      </w:r>
      <w:r w:rsidRPr="00A70934">
        <w:rPr>
          <w:rFonts w:cs="Times New Roman"/>
        </w:rPr>
        <w:t>амановских спектров).</w:t>
      </w:r>
    </w:p>
    <w:p w:rsidR="00A70934" w:rsidRPr="00A70934" w:rsidRDefault="00A70934" w:rsidP="00A70934">
      <w:pPr>
        <w:spacing w:after="0" w:line="360" w:lineRule="auto"/>
        <w:ind w:firstLine="709"/>
        <w:jc w:val="both"/>
        <w:rPr>
          <w:rFonts w:cs="Times New Roman"/>
        </w:rPr>
      </w:pPr>
      <w:r w:rsidRPr="00A70934">
        <w:rPr>
          <w:rFonts w:cs="Times New Roman"/>
        </w:rPr>
        <w:t>Квантово-химические расчёты (PBE0/def2-TZVP, B3LYP/def2-TZVP) в ORCA позволили оптимизировать геометрии и получить теоретические спектры. Сравнение с экспериментом проведено на качественном уровне; для корректной количественной оценки согласия требуется дальнейшая работа. Наблюдаемые спектральные различия между формами согласуются с ожидаемыми структурными изменениями, такими как возможное образование внутримолекулярной водородной связи при протонировании.</w:t>
      </w:r>
    </w:p>
    <w:p w:rsidR="00B92034" w:rsidRPr="00B92034" w:rsidRDefault="00A70934" w:rsidP="00A70934">
      <w:pPr>
        <w:spacing w:after="0" w:line="360" w:lineRule="auto"/>
        <w:ind w:firstLine="709"/>
        <w:jc w:val="both"/>
      </w:pPr>
      <w:r w:rsidRPr="00A70934">
        <w:rPr>
          <w:rFonts w:cs="Times New Roman"/>
        </w:rPr>
        <w:t>Таким образом, в ходе проекта</w:t>
      </w:r>
      <w:r>
        <w:rPr>
          <w:rFonts w:cs="Times New Roman"/>
        </w:rPr>
        <w:t xml:space="preserve"> </w:t>
      </w:r>
      <w:r>
        <w:rPr>
          <w:rFonts w:cs="Times New Roman"/>
          <w:lang w:val="en-US"/>
        </w:rPr>
        <w:t>INTEREST</w:t>
      </w:r>
      <w:r w:rsidRPr="00A70934">
        <w:rPr>
          <w:rFonts w:cs="Times New Roman"/>
        </w:rPr>
        <w:t xml:space="preserve"> получены навыки работы с современным программным обеспечением и проведён предварительный </w:t>
      </w:r>
      <w:r w:rsidRPr="00A70934">
        <w:rPr>
          <w:rFonts w:cs="Times New Roman"/>
        </w:rPr>
        <w:lastRenderedPageBreak/>
        <w:t>анализ конформационных и спектральных свойств суматриптана. Результаты носят ознакомительный характер и указывают на направления для более детального исследования, включая необходимость увеличения статистики данных и выполнения дополнительных проверочных расчётов для подтверждения сделанных предположений.</w:t>
      </w:r>
    </w:p>
    <w:p w:rsidR="00B92034" w:rsidRPr="00A24DC3" w:rsidRDefault="00B92034">
      <w:pPr>
        <w:spacing w:line="259" w:lineRule="auto"/>
      </w:pPr>
      <w:r w:rsidRPr="00A24DC3">
        <w:br w:type="page"/>
      </w:r>
    </w:p>
    <w:p w:rsidR="00E75BAE" w:rsidRPr="004025E3" w:rsidRDefault="00B92034" w:rsidP="004025E3">
      <w:pPr>
        <w:pStyle w:val="1"/>
        <w:spacing w:before="0" w:line="360" w:lineRule="auto"/>
        <w:jc w:val="center"/>
        <w:rPr>
          <w:rFonts w:ascii="Times New Roman" w:hAnsi="Times New Roman" w:cs="Times New Roman"/>
          <w:b w:val="0"/>
          <w:color w:val="000000" w:themeColor="text1"/>
        </w:rPr>
      </w:pPr>
      <w:bookmarkStart w:id="16" w:name="_Toc215743410"/>
      <w:r w:rsidRPr="0041560E">
        <w:rPr>
          <w:rFonts w:ascii="Times New Roman" w:hAnsi="Times New Roman" w:cs="Times New Roman"/>
          <w:b w:val="0"/>
          <w:color w:val="000000" w:themeColor="text1"/>
        </w:rPr>
        <w:lastRenderedPageBreak/>
        <w:t>СПИСОК ИСПОЛЬЗОВАННЫХ ИСТОЧНИКОВ</w:t>
      </w:r>
      <w:bookmarkEnd w:id="16"/>
    </w:p>
    <w:p w:rsidR="0041560E" w:rsidRPr="00254BA9" w:rsidRDefault="0041560E" w:rsidP="00254BA9">
      <w:pPr>
        <w:pStyle w:val="ds-markdown-paragraph"/>
        <w:numPr>
          <w:ilvl w:val="0"/>
          <w:numId w:val="14"/>
        </w:numPr>
        <w:shd w:val="clear" w:color="auto" w:fill="FFFFFF"/>
        <w:spacing w:before="0" w:beforeAutospacing="0" w:after="0" w:afterAutospacing="0"/>
        <w:jc w:val="both"/>
        <w:rPr>
          <w:sz w:val="28"/>
          <w:szCs w:val="28"/>
          <w:lang w:val="en-US"/>
        </w:rPr>
      </w:pPr>
      <w:r w:rsidRPr="00254BA9">
        <w:rPr>
          <w:sz w:val="28"/>
          <w:szCs w:val="28"/>
          <w:lang w:val="en-US"/>
        </w:rPr>
        <w:t>Bursch M., Mewes J.-M., Hansen A., Grimme S. Density Functional Theory for Basic Molecular Computational Chemistry // Angewandte Chemie International Edition. – 2022. –</w:t>
      </w:r>
      <w:r w:rsidR="00254BA9" w:rsidRPr="00254BA9">
        <w:rPr>
          <w:sz w:val="28"/>
          <w:szCs w:val="28"/>
          <w:lang w:val="en-US"/>
        </w:rPr>
        <w:t xml:space="preserve"> V</w:t>
      </w:r>
      <w:r w:rsidRPr="00254BA9">
        <w:rPr>
          <w:sz w:val="28"/>
          <w:szCs w:val="28"/>
          <w:lang w:val="en-US"/>
        </w:rPr>
        <w:t xml:space="preserve">. 61. – № 34. </w:t>
      </w:r>
      <w:r w:rsidR="00254BA9" w:rsidRPr="00254BA9">
        <w:rPr>
          <w:sz w:val="28"/>
          <w:szCs w:val="28"/>
          <w:lang w:val="en-US"/>
        </w:rPr>
        <w:t xml:space="preserve">– </w:t>
      </w:r>
      <w:r w:rsidRPr="00254BA9">
        <w:rPr>
          <w:sz w:val="28"/>
          <w:szCs w:val="28"/>
          <w:lang w:val="en-US"/>
        </w:rPr>
        <w:t>P. 27.</w:t>
      </w:r>
    </w:p>
    <w:p w:rsidR="0041560E" w:rsidRPr="00F03F0E" w:rsidRDefault="0041560E" w:rsidP="00254BA9">
      <w:pPr>
        <w:pStyle w:val="ac"/>
        <w:numPr>
          <w:ilvl w:val="0"/>
          <w:numId w:val="14"/>
        </w:numPr>
        <w:spacing w:before="0" w:beforeAutospacing="0" w:after="0" w:afterAutospacing="0"/>
        <w:jc w:val="both"/>
        <w:rPr>
          <w:sz w:val="28"/>
          <w:szCs w:val="28"/>
          <w:lang w:val="en-US"/>
        </w:rPr>
      </w:pPr>
      <w:r w:rsidRPr="00F03F0E">
        <w:rPr>
          <w:sz w:val="28"/>
          <w:szCs w:val="28"/>
          <w:lang w:val="en-US"/>
        </w:rPr>
        <w:t>Microsoft. WSL Architecture Overview [</w:t>
      </w:r>
      <w:r w:rsidRPr="00254BA9">
        <w:rPr>
          <w:sz w:val="28"/>
          <w:szCs w:val="28"/>
        </w:rPr>
        <w:t>Электронный</w:t>
      </w:r>
      <w:r w:rsidRPr="00F03F0E">
        <w:rPr>
          <w:sz w:val="28"/>
          <w:szCs w:val="28"/>
          <w:lang w:val="en-US"/>
        </w:rPr>
        <w:t xml:space="preserve"> </w:t>
      </w:r>
      <w:r w:rsidRPr="00254BA9">
        <w:rPr>
          <w:sz w:val="28"/>
          <w:szCs w:val="28"/>
        </w:rPr>
        <w:t>ресурс</w:t>
      </w:r>
      <w:r w:rsidRPr="00F03F0E">
        <w:rPr>
          <w:sz w:val="28"/>
          <w:szCs w:val="28"/>
          <w:lang w:val="en-US"/>
        </w:rPr>
        <w:t>]. – URL: https://learn.microsoft.com/en-us/windows/wsl/architecture (</w:t>
      </w:r>
      <w:r w:rsidRPr="00254BA9">
        <w:rPr>
          <w:sz w:val="28"/>
          <w:szCs w:val="28"/>
        </w:rPr>
        <w:t>дата</w:t>
      </w:r>
      <w:r w:rsidRPr="00F03F0E">
        <w:rPr>
          <w:sz w:val="28"/>
          <w:szCs w:val="28"/>
          <w:lang w:val="en-US"/>
        </w:rPr>
        <w:t xml:space="preserve"> </w:t>
      </w:r>
      <w:r w:rsidRPr="00254BA9">
        <w:rPr>
          <w:sz w:val="28"/>
          <w:szCs w:val="28"/>
        </w:rPr>
        <w:t>обращения</w:t>
      </w:r>
      <w:r w:rsidRPr="00F03F0E">
        <w:rPr>
          <w:sz w:val="28"/>
          <w:szCs w:val="28"/>
          <w:lang w:val="en-US"/>
        </w:rPr>
        <w:t>: 25.10.2025).</w:t>
      </w:r>
    </w:p>
    <w:p w:rsidR="0041560E" w:rsidRPr="00254BA9" w:rsidRDefault="0041560E" w:rsidP="00254BA9">
      <w:pPr>
        <w:pStyle w:val="a5"/>
        <w:numPr>
          <w:ilvl w:val="0"/>
          <w:numId w:val="14"/>
        </w:numPr>
        <w:spacing w:after="0"/>
        <w:jc w:val="both"/>
        <w:rPr>
          <w:rFonts w:cs="Times New Roman"/>
          <w:sz w:val="28"/>
          <w:szCs w:val="28"/>
          <w:lang w:val="en-US"/>
        </w:rPr>
      </w:pPr>
      <w:r w:rsidRPr="00254BA9">
        <w:rPr>
          <w:rFonts w:eastAsia="Times New Roman" w:cs="Times New Roman"/>
          <w:sz w:val="28"/>
          <w:szCs w:val="28"/>
          <w:lang w:val="en-US" w:eastAsia="ru-RU"/>
        </w:rPr>
        <w:t>Microsoft. Get started with GPU acceleration for ML in WSL [</w:t>
      </w:r>
      <w:r w:rsidRPr="00254BA9">
        <w:rPr>
          <w:rFonts w:eastAsia="Times New Roman" w:cs="Times New Roman"/>
          <w:sz w:val="28"/>
          <w:szCs w:val="28"/>
          <w:lang w:eastAsia="ru-RU"/>
        </w:rPr>
        <w:t>Электронный</w:t>
      </w:r>
      <w:r w:rsidRPr="00254BA9">
        <w:rPr>
          <w:rFonts w:eastAsia="Times New Roman" w:cs="Times New Roman"/>
          <w:sz w:val="28"/>
          <w:szCs w:val="28"/>
          <w:lang w:val="en-US" w:eastAsia="ru-RU"/>
        </w:rPr>
        <w:t xml:space="preserve"> </w:t>
      </w:r>
      <w:r w:rsidRPr="00254BA9">
        <w:rPr>
          <w:rFonts w:eastAsia="Times New Roman" w:cs="Times New Roman"/>
          <w:sz w:val="28"/>
          <w:szCs w:val="28"/>
          <w:lang w:eastAsia="ru-RU"/>
        </w:rPr>
        <w:t>ресурс</w:t>
      </w:r>
      <w:r w:rsidRPr="00254BA9">
        <w:rPr>
          <w:rFonts w:eastAsia="Times New Roman" w:cs="Times New Roman"/>
          <w:sz w:val="28"/>
          <w:szCs w:val="28"/>
          <w:lang w:val="en-US" w:eastAsia="ru-RU"/>
        </w:rPr>
        <w:t xml:space="preserve">]. </w:t>
      </w:r>
      <w:r w:rsidRPr="00254BA9">
        <w:rPr>
          <w:rFonts w:cs="Times New Roman"/>
          <w:sz w:val="28"/>
          <w:szCs w:val="28"/>
          <w:lang w:val="en-US"/>
        </w:rPr>
        <w:t>–</w:t>
      </w:r>
      <w:r w:rsidRPr="00254BA9">
        <w:rPr>
          <w:rFonts w:eastAsia="Times New Roman" w:cs="Times New Roman"/>
          <w:sz w:val="28"/>
          <w:szCs w:val="28"/>
          <w:lang w:val="en-US" w:eastAsia="ru-RU"/>
        </w:rPr>
        <w:t xml:space="preserve"> URL: </w:t>
      </w:r>
      <w:hyperlink r:id="rId21" w:tgtFrame="_blank" w:history="1">
        <w:r w:rsidRPr="00254BA9">
          <w:rPr>
            <w:rFonts w:eastAsia="Times New Roman" w:cs="Times New Roman"/>
            <w:sz w:val="28"/>
            <w:szCs w:val="28"/>
            <w:u w:val="single"/>
            <w:lang w:val="en-US" w:eastAsia="ru-RU"/>
          </w:rPr>
          <w:t>https://learn.microsoft.com/en-us/windows/wsl/tutorials/gpu-compute</w:t>
        </w:r>
      </w:hyperlink>
      <w:r w:rsidRPr="00254BA9">
        <w:rPr>
          <w:rFonts w:eastAsia="Times New Roman" w:cs="Times New Roman"/>
          <w:sz w:val="28"/>
          <w:szCs w:val="28"/>
          <w:lang w:val="en-US" w:eastAsia="ru-RU"/>
        </w:rPr>
        <w:t xml:space="preserve"> (</w:t>
      </w:r>
      <w:r w:rsidRPr="00254BA9">
        <w:rPr>
          <w:rFonts w:eastAsia="Times New Roman" w:cs="Times New Roman"/>
          <w:sz w:val="28"/>
          <w:szCs w:val="28"/>
          <w:lang w:eastAsia="ru-RU"/>
        </w:rPr>
        <w:t>дата</w:t>
      </w:r>
      <w:r w:rsidRPr="00254BA9">
        <w:rPr>
          <w:rFonts w:eastAsia="Times New Roman" w:cs="Times New Roman"/>
          <w:sz w:val="28"/>
          <w:szCs w:val="28"/>
          <w:lang w:val="en-US" w:eastAsia="ru-RU"/>
        </w:rPr>
        <w:t xml:space="preserve"> </w:t>
      </w:r>
      <w:r w:rsidRPr="00254BA9">
        <w:rPr>
          <w:rFonts w:eastAsia="Times New Roman" w:cs="Times New Roman"/>
          <w:sz w:val="28"/>
          <w:szCs w:val="28"/>
          <w:lang w:eastAsia="ru-RU"/>
        </w:rPr>
        <w:t>обращения</w:t>
      </w:r>
      <w:r w:rsidRPr="00254BA9">
        <w:rPr>
          <w:rFonts w:eastAsia="Times New Roman" w:cs="Times New Roman"/>
          <w:sz w:val="28"/>
          <w:szCs w:val="28"/>
          <w:lang w:val="en-US" w:eastAsia="ru-RU"/>
        </w:rPr>
        <w:t>: 25.10.2025).</w:t>
      </w:r>
    </w:p>
    <w:p w:rsidR="0041560E" w:rsidRPr="00F03F0E" w:rsidRDefault="0041560E" w:rsidP="00F03F0E">
      <w:pPr>
        <w:pStyle w:val="a3"/>
        <w:numPr>
          <w:ilvl w:val="0"/>
          <w:numId w:val="14"/>
        </w:numPr>
        <w:spacing w:after="0"/>
        <w:ind w:left="714" w:hanging="357"/>
        <w:jc w:val="both"/>
        <w:rPr>
          <w:bCs/>
          <w:lang w:val="en-US"/>
        </w:rPr>
      </w:pPr>
      <w:r w:rsidRPr="00F03F0E">
        <w:rPr>
          <w:shd w:val="clear" w:color="auto" w:fill="FFFFFF"/>
          <w:lang w:val="en-US"/>
        </w:rPr>
        <w:t xml:space="preserve">Bannwarth C., Ehlert S., Grimme S. GFN2-xTB </w:t>
      </w:r>
      <w:r w:rsidRPr="00F03F0E">
        <w:rPr>
          <w:lang w:val="en-US"/>
        </w:rPr>
        <w:t xml:space="preserve">– </w:t>
      </w:r>
      <w:r w:rsidRPr="00F03F0E">
        <w:rPr>
          <w:shd w:val="clear" w:color="auto" w:fill="FFFFFF"/>
          <w:lang w:val="en-US"/>
        </w:rPr>
        <w:t>An accurate and broadly parametrized self-consistent tight-binding quantum chemical method with multipole electrostatics and density-dependent dispersion contributions // Journal of chemical theory and computation. – 2019. – V. 15. – №. 3. – P. 1652-1671.</w:t>
      </w:r>
    </w:p>
    <w:p w:rsidR="0041560E" w:rsidRPr="00254BA9" w:rsidRDefault="0041560E" w:rsidP="00254BA9">
      <w:pPr>
        <w:pStyle w:val="a5"/>
        <w:numPr>
          <w:ilvl w:val="0"/>
          <w:numId w:val="14"/>
        </w:numPr>
        <w:spacing w:after="0"/>
        <w:jc w:val="both"/>
        <w:rPr>
          <w:rFonts w:cs="Times New Roman"/>
          <w:sz w:val="28"/>
          <w:szCs w:val="28"/>
          <w:shd w:val="clear" w:color="auto" w:fill="FFFFFF"/>
          <w:lang w:val="en-US"/>
        </w:rPr>
      </w:pPr>
      <w:r w:rsidRPr="00254BA9">
        <w:rPr>
          <w:rFonts w:cs="Times New Roman"/>
          <w:sz w:val="28"/>
          <w:szCs w:val="28"/>
          <w:shd w:val="clear" w:color="auto" w:fill="FFFFFF"/>
          <w:lang w:val="en-US"/>
        </w:rPr>
        <w:t>Froitzheim T. et al. g-xTB: A General-Purpose Extended Tight-Binding Electronic Structure Method For the Elements H to Lr (Z= 1–103). – 2025.</w:t>
      </w:r>
    </w:p>
    <w:p w:rsidR="0041560E" w:rsidRPr="00254BA9" w:rsidRDefault="0041560E" w:rsidP="00254BA9">
      <w:pPr>
        <w:pStyle w:val="a5"/>
        <w:numPr>
          <w:ilvl w:val="0"/>
          <w:numId w:val="14"/>
        </w:numPr>
        <w:spacing w:after="0"/>
        <w:jc w:val="both"/>
        <w:rPr>
          <w:rFonts w:cs="Times New Roman"/>
          <w:sz w:val="28"/>
          <w:szCs w:val="28"/>
          <w:lang w:val="en-US"/>
        </w:rPr>
      </w:pPr>
      <w:r w:rsidRPr="00254BA9">
        <w:rPr>
          <w:rFonts w:cs="Times New Roman"/>
          <w:sz w:val="28"/>
          <w:szCs w:val="28"/>
          <w:shd w:val="clear" w:color="auto" w:fill="FFFFFF"/>
          <w:lang w:val="en-US"/>
        </w:rPr>
        <w:t>Pracht P. et al. CREST—A program for the exploration of low-energy molecular chemical space //</w:t>
      </w:r>
      <w:r w:rsidR="00254BA9" w:rsidRPr="00254BA9">
        <w:rPr>
          <w:rFonts w:cs="Times New Roman"/>
          <w:sz w:val="28"/>
          <w:szCs w:val="28"/>
          <w:shd w:val="clear" w:color="auto" w:fill="FFFFFF"/>
          <w:lang w:val="en-US"/>
        </w:rPr>
        <w:t xml:space="preserve"> </w:t>
      </w:r>
      <w:r w:rsidRPr="00254BA9">
        <w:rPr>
          <w:rFonts w:cs="Times New Roman"/>
          <w:sz w:val="28"/>
          <w:szCs w:val="28"/>
          <w:shd w:val="clear" w:color="auto" w:fill="FFFFFF"/>
          <w:lang w:val="en-US"/>
        </w:rPr>
        <w:t xml:space="preserve">The Journal of Chemical Physics. – 2024. – </w:t>
      </w:r>
      <w:r w:rsidR="00254BA9" w:rsidRPr="00254BA9">
        <w:rPr>
          <w:rFonts w:cs="Times New Roman"/>
          <w:sz w:val="28"/>
          <w:szCs w:val="28"/>
          <w:shd w:val="clear" w:color="auto" w:fill="FFFFFF"/>
          <w:lang w:val="en-US"/>
        </w:rPr>
        <w:t>V</w:t>
      </w:r>
      <w:r w:rsidRPr="00254BA9">
        <w:rPr>
          <w:rFonts w:cs="Times New Roman"/>
          <w:sz w:val="28"/>
          <w:szCs w:val="28"/>
          <w:shd w:val="clear" w:color="auto" w:fill="FFFFFF"/>
          <w:lang w:val="en-US"/>
        </w:rPr>
        <w:t>. 160. – №. 11.</w:t>
      </w:r>
    </w:p>
    <w:p w:rsidR="0041560E" w:rsidRPr="00254BA9" w:rsidRDefault="0041560E" w:rsidP="00254BA9">
      <w:pPr>
        <w:pStyle w:val="a5"/>
        <w:numPr>
          <w:ilvl w:val="0"/>
          <w:numId w:val="14"/>
        </w:numPr>
        <w:spacing w:after="0"/>
        <w:jc w:val="both"/>
        <w:rPr>
          <w:rFonts w:cs="Times New Roman"/>
          <w:sz w:val="28"/>
          <w:szCs w:val="28"/>
          <w:lang w:val="en-US"/>
        </w:rPr>
      </w:pPr>
      <w:r w:rsidRPr="00254BA9">
        <w:rPr>
          <w:rFonts w:cs="Times New Roman"/>
          <w:sz w:val="28"/>
          <w:szCs w:val="28"/>
          <w:shd w:val="clear" w:color="auto" w:fill="FFFFFF"/>
          <w:lang w:val="en-US"/>
        </w:rPr>
        <w:t xml:space="preserve">Neese F. et al. The ORCA quantum chemistry program package //The Journal of chemical physics. – 2020. – </w:t>
      </w:r>
      <w:r w:rsidR="00254BA9" w:rsidRPr="00254BA9">
        <w:rPr>
          <w:rFonts w:cs="Times New Roman"/>
          <w:sz w:val="28"/>
          <w:szCs w:val="28"/>
          <w:shd w:val="clear" w:color="auto" w:fill="FFFFFF"/>
          <w:lang w:val="en-US"/>
        </w:rPr>
        <w:t>V</w:t>
      </w:r>
      <w:r w:rsidRPr="00254BA9">
        <w:rPr>
          <w:rFonts w:cs="Times New Roman"/>
          <w:sz w:val="28"/>
          <w:szCs w:val="28"/>
          <w:shd w:val="clear" w:color="auto" w:fill="FFFFFF"/>
          <w:lang w:val="en-US"/>
        </w:rPr>
        <w:t>. 152. – №. 22.</w:t>
      </w:r>
    </w:p>
    <w:p w:rsidR="0041560E" w:rsidRPr="00254BA9" w:rsidRDefault="0041560E" w:rsidP="00254BA9">
      <w:pPr>
        <w:pStyle w:val="a5"/>
        <w:numPr>
          <w:ilvl w:val="0"/>
          <w:numId w:val="14"/>
        </w:numPr>
        <w:spacing w:after="0"/>
        <w:jc w:val="both"/>
        <w:rPr>
          <w:rFonts w:cs="Times New Roman"/>
          <w:sz w:val="28"/>
          <w:szCs w:val="28"/>
          <w:shd w:val="clear" w:color="auto" w:fill="FFFFFF"/>
          <w:lang w:val="en-US"/>
        </w:rPr>
      </w:pPr>
      <w:r w:rsidRPr="00254BA9">
        <w:rPr>
          <w:rFonts w:cs="Times New Roman"/>
          <w:sz w:val="28"/>
          <w:szCs w:val="28"/>
          <w:shd w:val="clear" w:color="auto" w:fill="FFFFFF"/>
          <w:lang w:val="en-US"/>
        </w:rPr>
        <w:t xml:space="preserve">Giannozzi P. et al. QUANTUM ESPRESSO: a modular and open-source software project for quantumsimulations of materials //Journal of physics: Condensed matter. – 2009. – </w:t>
      </w:r>
      <w:r w:rsidR="00254BA9" w:rsidRPr="00254BA9">
        <w:rPr>
          <w:rFonts w:cs="Times New Roman"/>
          <w:sz w:val="28"/>
          <w:szCs w:val="28"/>
          <w:shd w:val="clear" w:color="auto" w:fill="FFFFFF"/>
          <w:lang w:val="en-US"/>
        </w:rPr>
        <w:t>V</w:t>
      </w:r>
      <w:r w:rsidRPr="00254BA9">
        <w:rPr>
          <w:rFonts w:cs="Times New Roman"/>
          <w:sz w:val="28"/>
          <w:szCs w:val="28"/>
          <w:shd w:val="clear" w:color="auto" w:fill="FFFFFF"/>
          <w:lang w:val="en-US"/>
        </w:rPr>
        <w:t xml:space="preserve">. 21. – №. 39. – </w:t>
      </w:r>
      <w:r w:rsidR="00254BA9" w:rsidRPr="00254BA9">
        <w:rPr>
          <w:rFonts w:cs="Times New Roman"/>
          <w:sz w:val="28"/>
          <w:szCs w:val="28"/>
          <w:shd w:val="clear" w:color="auto" w:fill="FFFFFF"/>
          <w:lang w:val="en-US"/>
        </w:rPr>
        <w:t>P</w:t>
      </w:r>
      <w:r w:rsidRPr="00254BA9">
        <w:rPr>
          <w:rFonts w:cs="Times New Roman"/>
          <w:sz w:val="28"/>
          <w:szCs w:val="28"/>
          <w:shd w:val="clear" w:color="auto" w:fill="FFFFFF"/>
          <w:lang w:val="en-US"/>
        </w:rPr>
        <w:t>. 395502.</w:t>
      </w:r>
    </w:p>
    <w:p w:rsidR="0041560E" w:rsidRPr="00254BA9" w:rsidRDefault="0041560E" w:rsidP="00254BA9">
      <w:pPr>
        <w:pStyle w:val="a5"/>
        <w:numPr>
          <w:ilvl w:val="0"/>
          <w:numId w:val="14"/>
        </w:numPr>
        <w:spacing w:after="0"/>
        <w:jc w:val="both"/>
        <w:rPr>
          <w:rFonts w:cs="Times New Roman"/>
          <w:sz w:val="28"/>
          <w:szCs w:val="28"/>
          <w:shd w:val="clear" w:color="auto" w:fill="FFFFFF"/>
          <w:lang w:val="en-US"/>
        </w:rPr>
      </w:pPr>
      <w:r w:rsidRPr="00254BA9">
        <w:rPr>
          <w:rFonts w:cs="Times New Roman"/>
          <w:sz w:val="28"/>
          <w:szCs w:val="28"/>
          <w:shd w:val="clear" w:color="auto" w:fill="FFFFFF"/>
          <w:lang w:val="en-US"/>
        </w:rPr>
        <w:t xml:space="preserve">Boby M. L. et al. Open science discovery of potent noncovalent SARS-CoV-2 main protease inhibitors //Science. – 2023. – </w:t>
      </w:r>
      <w:r w:rsidR="00254BA9" w:rsidRPr="00254BA9">
        <w:rPr>
          <w:rFonts w:cs="Times New Roman"/>
          <w:sz w:val="28"/>
          <w:szCs w:val="28"/>
          <w:shd w:val="clear" w:color="auto" w:fill="FFFFFF"/>
          <w:lang w:val="en-US"/>
        </w:rPr>
        <w:t>V</w:t>
      </w:r>
      <w:r w:rsidRPr="00254BA9">
        <w:rPr>
          <w:rFonts w:cs="Times New Roman"/>
          <w:sz w:val="28"/>
          <w:szCs w:val="28"/>
          <w:shd w:val="clear" w:color="auto" w:fill="FFFFFF"/>
          <w:lang w:val="en-US"/>
        </w:rPr>
        <w:t xml:space="preserve">. 382. – №. 6671. – </w:t>
      </w:r>
      <w:r w:rsidR="00254BA9" w:rsidRPr="00254BA9">
        <w:rPr>
          <w:rFonts w:cs="Times New Roman"/>
          <w:sz w:val="28"/>
          <w:szCs w:val="28"/>
          <w:shd w:val="clear" w:color="auto" w:fill="FFFFFF"/>
          <w:lang w:val="en-US"/>
        </w:rPr>
        <w:t>P</w:t>
      </w:r>
      <w:r w:rsidRPr="00254BA9">
        <w:rPr>
          <w:rFonts w:cs="Times New Roman"/>
          <w:sz w:val="28"/>
          <w:szCs w:val="28"/>
          <w:shd w:val="clear" w:color="auto" w:fill="FFFFFF"/>
          <w:lang w:val="en-US"/>
        </w:rPr>
        <w:t>. eabo7201.</w:t>
      </w:r>
    </w:p>
    <w:p w:rsidR="0041560E" w:rsidRPr="00254BA9" w:rsidRDefault="0041560E" w:rsidP="00254BA9">
      <w:pPr>
        <w:pStyle w:val="a5"/>
        <w:numPr>
          <w:ilvl w:val="0"/>
          <w:numId w:val="14"/>
        </w:numPr>
        <w:spacing w:after="0"/>
        <w:jc w:val="both"/>
        <w:rPr>
          <w:rFonts w:cs="Times New Roman"/>
          <w:sz w:val="28"/>
          <w:szCs w:val="28"/>
          <w:shd w:val="clear" w:color="auto" w:fill="FFFFFF"/>
          <w:lang w:val="en-US"/>
        </w:rPr>
      </w:pPr>
      <w:r w:rsidRPr="00254BA9">
        <w:rPr>
          <w:rFonts w:cs="Times New Roman"/>
          <w:sz w:val="28"/>
          <w:szCs w:val="28"/>
          <w:shd w:val="clear" w:color="auto" w:fill="FFFFFF"/>
          <w:lang w:val="en-US"/>
        </w:rPr>
        <w:t xml:space="preserve">Mercorelli B. et al. Discovery of novel SARS-CoV-2 inhibitors targeting the main protease Mpro by virtual screenings and hit optimization //Antiviral research. – 2022. – </w:t>
      </w:r>
      <w:r w:rsidR="00254BA9" w:rsidRPr="00254BA9">
        <w:rPr>
          <w:rFonts w:cs="Times New Roman"/>
          <w:sz w:val="28"/>
          <w:szCs w:val="28"/>
          <w:shd w:val="clear" w:color="auto" w:fill="FFFFFF"/>
          <w:lang w:val="en-US"/>
        </w:rPr>
        <w:t>V</w:t>
      </w:r>
      <w:r w:rsidRPr="00254BA9">
        <w:rPr>
          <w:rFonts w:cs="Times New Roman"/>
          <w:sz w:val="28"/>
          <w:szCs w:val="28"/>
          <w:shd w:val="clear" w:color="auto" w:fill="FFFFFF"/>
          <w:lang w:val="en-US"/>
        </w:rPr>
        <w:t xml:space="preserve">. 204. – </w:t>
      </w:r>
      <w:r w:rsidR="00254BA9" w:rsidRPr="00254BA9">
        <w:rPr>
          <w:rFonts w:cs="Times New Roman"/>
          <w:sz w:val="28"/>
          <w:szCs w:val="28"/>
          <w:shd w:val="clear" w:color="auto" w:fill="FFFFFF"/>
          <w:lang w:val="en-US"/>
        </w:rPr>
        <w:t>P</w:t>
      </w:r>
      <w:r w:rsidRPr="00254BA9">
        <w:rPr>
          <w:rFonts w:cs="Times New Roman"/>
          <w:sz w:val="28"/>
          <w:szCs w:val="28"/>
          <w:shd w:val="clear" w:color="auto" w:fill="FFFFFF"/>
          <w:lang w:val="en-US"/>
        </w:rPr>
        <w:t>. 105350.</w:t>
      </w:r>
    </w:p>
    <w:p w:rsidR="0041560E" w:rsidRPr="00254BA9" w:rsidRDefault="0041560E" w:rsidP="00254BA9">
      <w:pPr>
        <w:pStyle w:val="a5"/>
        <w:numPr>
          <w:ilvl w:val="0"/>
          <w:numId w:val="14"/>
        </w:numPr>
        <w:spacing w:after="0"/>
        <w:jc w:val="both"/>
        <w:rPr>
          <w:rFonts w:cs="Times New Roman"/>
          <w:sz w:val="28"/>
          <w:szCs w:val="28"/>
          <w:lang w:val="en-US"/>
        </w:rPr>
      </w:pPr>
      <w:r w:rsidRPr="00254BA9">
        <w:rPr>
          <w:rFonts w:cs="Times New Roman"/>
          <w:sz w:val="28"/>
          <w:szCs w:val="28"/>
          <w:lang w:val="en-US"/>
        </w:rPr>
        <w:t>Goadsby P.J. The vascular theory of migraine – a great story wrecked by the facts / P.J. Goadsby</w:t>
      </w:r>
      <w:r w:rsidR="00254BA9" w:rsidRPr="00254BA9">
        <w:rPr>
          <w:rFonts w:cs="Times New Roman"/>
          <w:sz w:val="28"/>
          <w:szCs w:val="28"/>
          <w:lang w:val="en-US"/>
        </w:rPr>
        <w:t xml:space="preserve">. – Brain. – 2009. – V. 132. </w:t>
      </w:r>
      <w:r w:rsidR="00254BA9" w:rsidRPr="00254BA9">
        <w:rPr>
          <w:sz w:val="28"/>
          <w:szCs w:val="28"/>
          <w:lang w:val="en-US"/>
        </w:rPr>
        <w:t>–</w:t>
      </w:r>
      <w:r w:rsidRPr="00254BA9">
        <w:rPr>
          <w:rFonts w:cs="Times New Roman"/>
          <w:sz w:val="28"/>
          <w:szCs w:val="28"/>
          <w:lang w:val="en-US"/>
        </w:rPr>
        <w:t xml:space="preserve"> №</w:t>
      </w:r>
      <w:r w:rsidR="00254BA9" w:rsidRPr="00254BA9">
        <w:rPr>
          <w:rFonts w:cs="Times New Roman"/>
          <w:sz w:val="28"/>
          <w:szCs w:val="28"/>
          <w:lang w:val="en-US"/>
        </w:rPr>
        <w:t xml:space="preserve"> 1. – P</w:t>
      </w:r>
      <w:r w:rsidRPr="00254BA9">
        <w:rPr>
          <w:rFonts w:cs="Times New Roman"/>
          <w:sz w:val="28"/>
          <w:szCs w:val="28"/>
          <w:lang w:val="en-US"/>
        </w:rPr>
        <w:t>. 6-7</w:t>
      </w:r>
      <w:r w:rsidR="00254BA9" w:rsidRPr="00254BA9">
        <w:rPr>
          <w:rFonts w:cs="Times New Roman"/>
          <w:sz w:val="28"/>
          <w:szCs w:val="28"/>
          <w:lang w:val="en-US"/>
        </w:rPr>
        <w:t>.</w:t>
      </w:r>
    </w:p>
    <w:p w:rsidR="0041560E" w:rsidRPr="00254BA9" w:rsidRDefault="0041560E" w:rsidP="00254BA9">
      <w:pPr>
        <w:pStyle w:val="a5"/>
        <w:numPr>
          <w:ilvl w:val="0"/>
          <w:numId w:val="14"/>
        </w:numPr>
        <w:spacing w:after="0"/>
        <w:jc w:val="both"/>
        <w:rPr>
          <w:rFonts w:cs="Times New Roman"/>
          <w:sz w:val="28"/>
          <w:szCs w:val="28"/>
          <w:lang w:val="en-US"/>
        </w:rPr>
      </w:pPr>
      <w:r w:rsidRPr="00254BA9">
        <w:rPr>
          <w:rFonts w:cs="Times New Roman"/>
          <w:sz w:val="28"/>
          <w:szCs w:val="28"/>
          <w:shd w:val="clear" w:color="auto" w:fill="F8F8F8"/>
          <w:lang w:val="en-US"/>
        </w:rPr>
        <w:t xml:space="preserve">Wood I., Pickholz M. Concentration effects of sumatriptan on the properties of model membranes by molecular dynamics simulations // European Biophysics Journal. </w:t>
      </w:r>
      <w:r w:rsidR="00254BA9" w:rsidRPr="00254BA9">
        <w:rPr>
          <w:sz w:val="28"/>
          <w:szCs w:val="28"/>
          <w:lang w:val="en-US"/>
        </w:rPr>
        <w:t xml:space="preserve">– </w:t>
      </w:r>
      <w:r w:rsidR="00254BA9" w:rsidRPr="00254BA9">
        <w:rPr>
          <w:rFonts w:cs="Times New Roman"/>
          <w:sz w:val="28"/>
          <w:szCs w:val="28"/>
          <w:shd w:val="clear" w:color="auto" w:fill="F8F8F8"/>
          <w:lang w:val="en-US"/>
        </w:rPr>
        <w:t xml:space="preserve">2013. </w:t>
      </w:r>
      <w:r w:rsidR="00254BA9" w:rsidRPr="00254BA9">
        <w:rPr>
          <w:sz w:val="28"/>
          <w:szCs w:val="28"/>
          <w:lang w:val="en-US"/>
        </w:rPr>
        <w:t>–</w:t>
      </w:r>
      <w:r w:rsidR="00254BA9" w:rsidRPr="00254BA9">
        <w:rPr>
          <w:rFonts w:cs="Times New Roman"/>
          <w:sz w:val="28"/>
          <w:szCs w:val="28"/>
          <w:shd w:val="clear" w:color="auto" w:fill="F8F8F8"/>
          <w:lang w:val="en-US"/>
        </w:rPr>
        <w:t xml:space="preserve"> V</w:t>
      </w:r>
      <w:r w:rsidRPr="00254BA9">
        <w:rPr>
          <w:rFonts w:cs="Times New Roman"/>
          <w:sz w:val="28"/>
          <w:szCs w:val="28"/>
          <w:shd w:val="clear" w:color="auto" w:fill="F8F8F8"/>
          <w:lang w:val="en-US"/>
        </w:rPr>
        <w:t>. 42.</w:t>
      </w:r>
      <w:r w:rsidR="00254BA9" w:rsidRPr="00254BA9">
        <w:rPr>
          <w:rFonts w:cs="Times New Roman"/>
          <w:sz w:val="28"/>
          <w:szCs w:val="28"/>
          <w:shd w:val="clear" w:color="auto" w:fill="F8F8F8"/>
          <w:lang w:val="en-US"/>
        </w:rPr>
        <w:t xml:space="preserve"> </w:t>
      </w:r>
      <w:r w:rsidR="00254BA9" w:rsidRPr="00254BA9">
        <w:rPr>
          <w:sz w:val="28"/>
          <w:szCs w:val="28"/>
          <w:lang w:val="en-US"/>
        </w:rPr>
        <w:t>–</w:t>
      </w:r>
      <w:r w:rsidR="00254BA9" w:rsidRPr="00254BA9">
        <w:rPr>
          <w:rFonts w:cs="Times New Roman"/>
          <w:sz w:val="28"/>
          <w:szCs w:val="28"/>
          <w:shd w:val="clear" w:color="auto" w:fill="F8F8F8"/>
          <w:lang w:val="en-US"/>
        </w:rPr>
        <w:t xml:space="preserve"> № 11-12. </w:t>
      </w:r>
      <w:r w:rsidR="00254BA9" w:rsidRPr="00254BA9">
        <w:rPr>
          <w:sz w:val="28"/>
          <w:szCs w:val="28"/>
          <w:lang w:val="en-US"/>
        </w:rPr>
        <w:t xml:space="preserve">– </w:t>
      </w:r>
      <w:r w:rsidR="00254BA9" w:rsidRPr="00254BA9">
        <w:rPr>
          <w:rFonts w:cs="Times New Roman"/>
          <w:sz w:val="28"/>
          <w:szCs w:val="28"/>
          <w:shd w:val="clear" w:color="auto" w:fill="F8F8F8"/>
          <w:lang w:val="en-US"/>
        </w:rPr>
        <w:t>.P</w:t>
      </w:r>
      <w:r w:rsidRPr="00254BA9">
        <w:rPr>
          <w:rFonts w:cs="Times New Roman"/>
          <w:sz w:val="28"/>
          <w:szCs w:val="28"/>
          <w:shd w:val="clear" w:color="auto" w:fill="F8F8F8"/>
          <w:lang w:val="en-US"/>
        </w:rPr>
        <w:t>. 833-841.</w:t>
      </w:r>
    </w:p>
    <w:p w:rsidR="0041560E" w:rsidRPr="00254BA9" w:rsidRDefault="0041560E" w:rsidP="00254BA9">
      <w:pPr>
        <w:pStyle w:val="a3"/>
        <w:numPr>
          <w:ilvl w:val="0"/>
          <w:numId w:val="14"/>
        </w:numPr>
        <w:spacing w:after="0"/>
        <w:jc w:val="both"/>
        <w:rPr>
          <w:rFonts w:eastAsia="Times New Roman" w:cs="Times New Roman"/>
          <w:szCs w:val="28"/>
          <w:lang w:val="en-US" w:eastAsia="ru-RU"/>
        </w:rPr>
      </w:pPr>
      <w:r w:rsidRPr="00254BA9">
        <w:rPr>
          <w:rFonts w:cs="Times New Roman"/>
          <w:szCs w:val="28"/>
          <w:shd w:val="clear" w:color="auto" w:fill="FFFFFF"/>
          <w:lang w:val="en-US"/>
        </w:rPr>
        <w:t>Sumatriptan</w:t>
      </w:r>
      <w:r w:rsidRPr="00254BA9">
        <w:rPr>
          <w:rFonts w:eastAsia="Times New Roman" w:cs="Times New Roman"/>
          <w:szCs w:val="28"/>
          <w:lang w:val="en-US" w:eastAsia="ru-RU"/>
        </w:rPr>
        <w:t>. [Electronic resource]: – material from PubChem / – URL: https://pubchem.ncbi.nlm.nih.gov/. – Access mode: open. (</w:t>
      </w:r>
      <w:r w:rsidRPr="00254BA9">
        <w:rPr>
          <w:rFonts w:eastAsia="Times New Roman" w:cs="Times New Roman"/>
          <w:szCs w:val="28"/>
          <w:lang w:eastAsia="ru-RU"/>
        </w:rPr>
        <w:t>дата</w:t>
      </w:r>
      <w:r w:rsidRPr="00254BA9">
        <w:rPr>
          <w:rFonts w:eastAsia="Times New Roman" w:cs="Times New Roman"/>
          <w:szCs w:val="28"/>
          <w:lang w:val="en-US" w:eastAsia="ru-RU"/>
        </w:rPr>
        <w:t xml:space="preserve"> </w:t>
      </w:r>
      <w:r w:rsidRPr="00254BA9">
        <w:rPr>
          <w:rFonts w:eastAsia="Times New Roman" w:cs="Times New Roman"/>
          <w:szCs w:val="28"/>
          <w:lang w:eastAsia="ru-RU"/>
        </w:rPr>
        <w:t>обращения</w:t>
      </w:r>
      <w:r w:rsidR="00254BA9" w:rsidRPr="00254BA9">
        <w:rPr>
          <w:rFonts w:eastAsia="Times New Roman" w:cs="Times New Roman"/>
          <w:szCs w:val="28"/>
          <w:lang w:val="en-US" w:eastAsia="ru-RU"/>
        </w:rPr>
        <w:t>: 25.11</w:t>
      </w:r>
      <w:r w:rsidRPr="00254BA9">
        <w:rPr>
          <w:rFonts w:eastAsia="Times New Roman" w:cs="Times New Roman"/>
          <w:szCs w:val="28"/>
          <w:lang w:val="en-US" w:eastAsia="ru-RU"/>
        </w:rPr>
        <w:t>.2025)</w:t>
      </w:r>
    </w:p>
    <w:p w:rsidR="00B92034" w:rsidRPr="0041560E" w:rsidRDefault="00B92034" w:rsidP="00B92034">
      <w:pPr>
        <w:spacing w:after="0"/>
        <w:jc w:val="both"/>
        <w:rPr>
          <w:lang w:val="en-US"/>
        </w:rPr>
      </w:pPr>
    </w:p>
    <w:sectPr w:rsidR="00B92034" w:rsidRPr="0041560E" w:rsidSect="004025E3">
      <w:footerReference w:type="default" r:id="rId22"/>
      <w:pgSz w:w="11906" w:h="16838" w:code="9"/>
      <w:pgMar w:top="1134" w:right="850"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09F" w:rsidRDefault="0007109F" w:rsidP="004025E3">
      <w:pPr>
        <w:spacing w:after="0"/>
      </w:pPr>
      <w:r>
        <w:separator/>
      </w:r>
    </w:p>
  </w:endnote>
  <w:endnote w:type="continuationSeparator" w:id="1">
    <w:p w:rsidR="0007109F" w:rsidRDefault="0007109F" w:rsidP="004025E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5017"/>
      <w:docPartObj>
        <w:docPartGallery w:val="Page Numbers (Bottom of Page)"/>
        <w:docPartUnique/>
      </w:docPartObj>
    </w:sdtPr>
    <w:sdtContent>
      <w:p w:rsidR="00F756E7" w:rsidRDefault="00AC65A7">
        <w:pPr>
          <w:pStyle w:val="af0"/>
          <w:jc w:val="center"/>
        </w:pPr>
        <w:fldSimple w:instr=" PAGE   \* MERGEFORMAT ">
          <w:r w:rsidR="00C95A83">
            <w:rPr>
              <w:noProof/>
            </w:rPr>
            <w:t>3</w:t>
          </w:r>
        </w:fldSimple>
      </w:p>
    </w:sdtContent>
  </w:sdt>
  <w:p w:rsidR="00F756E7" w:rsidRDefault="00F756E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09F" w:rsidRDefault="0007109F" w:rsidP="004025E3">
      <w:pPr>
        <w:spacing w:after="0"/>
      </w:pPr>
      <w:r>
        <w:separator/>
      </w:r>
    </w:p>
  </w:footnote>
  <w:footnote w:type="continuationSeparator" w:id="1">
    <w:p w:rsidR="0007109F" w:rsidRDefault="0007109F" w:rsidP="004025E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659B2"/>
    <w:multiLevelType w:val="hybridMultilevel"/>
    <w:tmpl w:val="5C4EA1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C2C6989"/>
    <w:multiLevelType w:val="hybridMultilevel"/>
    <w:tmpl w:val="65525788"/>
    <w:lvl w:ilvl="0" w:tplc="DEBEA6C0">
      <w:start w:val="1"/>
      <w:numFmt w:val="decimal"/>
      <w:lvlText w:val="%1."/>
      <w:lvlJc w:val="left"/>
      <w:pPr>
        <w:ind w:left="720" w:hanging="360"/>
      </w:pPr>
      <w:rPr>
        <w:rFonts w:eastAsia="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6506C1"/>
    <w:multiLevelType w:val="hybridMultilevel"/>
    <w:tmpl w:val="468CD7A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3C1BB3"/>
    <w:multiLevelType w:val="hybridMultilevel"/>
    <w:tmpl w:val="AAA06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A44305A"/>
    <w:multiLevelType w:val="hybridMultilevel"/>
    <w:tmpl w:val="5BC87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25369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1DE228B"/>
    <w:multiLevelType w:val="hybridMultilevel"/>
    <w:tmpl w:val="F14CB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85537DE"/>
    <w:multiLevelType w:val="hybridMultilevel"/>
    <w:tmpl w:val="08FE6F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5A7B7470"/>
    <w:multiLevelType w:val="hybridMultilevel"/>
    <w:tmpl w:val="8AB60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31D21E0"/>
    <w:multiLevelType w:val="hybridMultilevel"/>
    <w:tmpl w:val="6D9A4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8FF4074"/>
    <w:multiLevelType w:val="multilevel"/>
    <w:tmpl w:val="E3E45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86D3A78"/>
    <w:multiLevelType w:val="hybridMultilevel"/>
    <w:tmpl w:val="AB848F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ADD4EAA"/>
    <w:multiLevelType w:val="hybridMultilevel"/>
    <w:tmpl w:val="F70E81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EFB402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FDA26C5"/>
    <w:multiLevelType w:val="hybridMultilevel"/>
    <w:tmpl w:val="256E74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9"/>
  </w:num>
  <w:num w:numId="3">
    <w:abstractNumId w:val="8"/>
  </w:num>
  <w:num w:numId="4">
    <w:abstractNumId w:val="2"/>
  </w:num>
  <w:num w:numId="5">
    <w:abstractNumId w:val="1"/>
  </w:num>
  <w:num w:numId="6">
    <w:abstractNumId w:val="5"/>
  </w:num>
  <w:num w:numId="7">
    <w:abstractNumId w:val="13"/>
  </w:num>
  <w:num w:numId="8">
    <w:abstractNumId w:val="3"/>
  </w:num>
  <w:num w:numId="9">
    <w:abstractNumId w:val="14"/>
  </w:num>
  <w:num w:numId="10">
    <w:abstractNumId w:val="10"/>
  </w:num>
  <w:num w:numId="11">
    <w:abstractNumId w:val="7"/>
  </w:num>
  <w:num w:numId="12">
    <w:abstractNumId w:val="6"/>
  </w:num>
  <w:num w:numId="13">
    <w:abstractNumId w:val="0"/>
  </w:num>
  <w:num w:numId="14">
    <w:abstractNumId w:val="12"/>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D77F22"/>
    <w:rsid w:val="000001E0"/>
    <w:rsid w:val="0003132A"/>
    <w:rsid w:val="000313E4"/>
    <w:rsid w:val="00051DC9"/>
    <w:rsid w:val="0007109F"/>
    <w:rsid w:val="000834F5"/>
    <w:rsid w:val="00090439"/>
    <w:rsid w:val="000A20D5"/>
    <w:rsid w:val="000D2246"/>
    <w:rsid w:val="000E2856"/>
    <w:rsid w:val="001C5646"/>
    <w:rsid w:val="001E6B2F"/>
    <w:rsid w:val="001F2773"/>
    <w:rsid w:val="00210DDA"/>
    <w:rsid w:val="002358AD"/>
    <w:rsid w:val="00246324"/>
    <w:rsid w:val="00254BA9"/>
    <w:rsid w:val="00274536"/>
    <w:rsid w:val="00284C46"/>
    <w:rsid w:val="002A04AC"/>
    <w:rsid w:val="002A18D0"/>
    <w:rsid w:val="002A6D9B"/>
    <w:rsid w:val="002B3F31"/>
    <w:rsid w:val="002F1179"/>
    <w:rsid w:val="003226AE"/>
    <w:rsid w:val="00335B28"/>
    <w:rsid w:val="00344895"/>
    <w:rsid w:val="00357F87"/>
    <w:rsid w:val="00363E49"/>
    <w:rsid w:val="00370869"/>
    <w:rsid w:val="00377B20"/>
    <w:rsid w:val="0039490B"/>
    <w:rsid w:val="00395FF8"/>
    <w:rsid w:val="003C10F9"/>
    <w:rsid w:val="004025E3"/>
    <w:rsid w:val="0041560E"/>
    <w:rsid w:val="0045427D"/>
    <w:rsid w:val="00456BE1"/>
    <w:rsid w:val="0047723F"/>
    <w:rsid w:val="004B5115"/>
    <w:rsid w:val="004F3EF0"/>
    <w:rsid w:val="00523779"/>
    <w:rsid w:val="00532CD5"/>
    <w:rsid w:val="00553728"/>
    <w:rsid w:val="00563D09"/>
    <w:rsid w:val="005A6EB9"/>
    <w:rsid w:val="005B5FF0"/>
    <w:rsid w:val="005C1C77"/>
    <w:rsid w:val="005C45E9"/>
    <w:rsid w:val="00606332"/>
    <w:rsid w:val="00620682"/>
    <w:rsid w:val="00622BB0"/>
    <w:rsid w:val="006C0B77"/>
    <w:rsid w:val="006D7EFF"/>
    <w:rsid w:val="0071026A"/>
    <w:rsid w:val="00723EB3"/>
    <w:rsid w:val="00734609"/>
    <w:rsid w:val="0075056D"/>
    <w:rsid w:val="007529A3"/>
    <w:rsid w:val="0075713B"/>
    <w:rsid w:val="007875DF"/>
    <w:rsid w:val="007B063C"/>
    <w:rsid w:val="007C77D6"/>
    <w:rsid w:val="007D5211"/>
    <w:rsid w:val="007F0AAE"/>
    <w:rsid w:val="00800DA5"/>
    <w:rsid w:val="008242FF"/>
    <w:rsid w:val="00841032"/>
    <w:rsid w:val="008508FA"/>
    <w:rsid w:val="00865AA3"/>
    <w:rsid w:val="00870751"/>
    <w:rsid w:val="00884D92"/>
    <w:rsid w:val="00890768"/>
    <w:rsid w:val="008972A4"/>
    <w:rsid w:val="009140D5"/>
    <w:rsid w:val="009154E3"/>
    <w:rsid w:val="00921554"/>
    <w:rsid w:val="00922C48"/>
    <w:rsid w:val="00946F10"/>
    <w:rsid w:val="0095047C"/>
    <w:rsid w:val="00981B07"/>
    <w:rsid w:val="009E7B34"/>
    <w:rsid w:val="009F29F7"/>
    <w:rsid w:val="00A05E6B"/>
    <w:rsid w:val="00A17222"/>
    <w:rsid w:val="00A24DC3"/>
    <w:rsid w:val="00A515D6"/>
    <w:rsid w:val="00A56E47"/>
    <w:rsid w:val="00A70934"/>
    <w:rsid w:val="00AA3DE7"/>
    <w:rsid w:val="00AC32FA"/>
    <w:rsid w:val="00AC65A7"/>
    <w:rsid w:val="00AC7FE4"/>
    <w:rsid w:val="00B31408"/>
    <w:rsid w:val="00B47967"/>
    <w:rsid w:val="00B5613F"/>
    <w:rsid w:val="00B6253A"/>
    <w:rsid w:val="00B634E3"/>
    <w:rsid w:val="00B651D9"/>
    <w:rsid w:val="00B67254"/>
    <w:rsid w:val="00B709F6"/>
    <w:rsid w:val="00B820AD"/>
    <w:rsid w:val="00B82C6A"/>
    <w:rsid w:val="00B915B7"/>
    <w:rsid w:val="00B92034"/>
    <w:rsid w:val="00BB3121"/>
    <w:rsid w:val="00BC0DC5"/>
    <w:rsid w:val="00BF58E6"/>
    <w:rsid w:val="00C037D5"/>
    <w:rsid w:val="00C043DA"/>
    <w:rsid w:val="00C41268"/>
    <w:rsid w:val="00C95A83"/>
    <w:rsid w:val="00D0435D"/>
    <w:rsid w:val="00D4164A"/>
    <w:rsid w:val="00D45F65"/>
    <w:rsid w:val="00D77A27"/>
    <w:rsid w:val="00D77F22"/>
    <w:rsid w:val="00DF024A"/>
    <w:rsid w:val="00E17814"/>
    <w:rsid w:val="00E532B9"/>
    <w:rsid w:val="00E57156"/>
    <w:rsid w:val="00E75BAE"/>
    <w:rsid w:val="00EA59DF"/>
    <w:rsid w:val="00EC611F"/>
    <w:rsid w:val="00EE4070"/>
    <w:rsid w:val="00EF28D2"/>
    <w:rsid w:val="00F03F0E"/>
    <w:rsid w:val="00F12C76"/>
    <w:rsid w:val="00F62FC1"/>
    <w:rsid w:val="00F756E7"/>
    <w:rsid w:val="00F928EE"/>
    <w:rsid w:val="00FE3B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4025E3"/>
    <w:pPr>
      <w:keepNext/>
      <w:keepLines/>
      <w:spacing w:before="480" w:after="0"/>
      <w:outlineLvl w:val="0"/>
    </w:pPr>
    <w:rPr>
      <w:rFonts w:asciiTheme="majorHAnsi" w:eastAsiaTheme="majorEastAsia" w:hAnsiTheme="majorHAnsi" w:cstheme="majorBidi"/>
      <w:b/>
      <w:bCs/>
      <w:color w:val="2E74B5" w:themeColor="accent1" w:themeShade="BF"/>
      <w:szCs w:val="28"/>
    </w:rPr>
  </w:style>
  <w:style w:type="paragraph" w:styleId="2">
    <w:name w:val="heading 2"/>
    <w:basedOn w:val="a"/>
    <w:next w:val="a"/>
    <w:link w:val="20"/>
    <w:uiPriority w:val="9"/>
    <w:unhideWhenUsed/>
    <w:qFormat/>
    <w:rsid w:val="00B651D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7B063C"/>
    <w:pPr>
      <w:spacing w:before="100" w:beforeAutospacing="1" w:after="100" w:afterAutospacing="1"/>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2034"/>
    <w:pPr>
      <w:ind w:left="720"/>
      <w:contextualSpacing/>
    </w:pPr>
  </w:style>
  <w:style w:type="character" w:styleId="a4">
    <w:name w:val="annotation reference"/>
    <w:basedOn w:val="a0"/>
    <w:uiPriority w:val="99"/>
    <w:semiHidden/>
    <w:unhideWhenUsed/>
    <w:rsid w:val="00B92034"/>
    <w:rPr>
      <w:sz w:val="16"/>
      <w:szCs w:val="16"/>
    </w:rPr>
  </w:style>
  <w:style w:type="paragraph" w:styleId="a5">
    <w:name w:val="annotation text"/>
    <w:basedOn w:val="a"/>
    <w:link w:val="a6"/>
    <w:uiPriority w:val="99"/>
    <w:unhideWhenUsed/>
    <w:rsid w:val="00B92034"/>
    <w:rPr>
      <w:sz w:val="20"/>
      <w:szCs w:val="20"/>
    </w:rPr>
  </w:style>
  <w:style w:type="character" w:customStyle="1" w:styleId="a6">
    <w:name w:val="Текст примечания Знак"/>
    <w:basedOn w:val="a0"/>
    <w:link w:val="a5"/>
    <w:uiPriority w:val="99"/>
    <w:rsid w:val="00B92034"/>
    <w:rPr>
      <w:rFonts w:ascii="Times New Roman" w:hAnsi="Times New Roman"/>
      <w:sz w:val="20"/>
      <w:szCs w:val="20"/>
    </w:rPr>
  </w:style>
  <w:style w:type="paragraph" w:styleId="a7">
    <w:name w:val="annotation subject"/>
    <w:basedOn w:val="a5"/>
    <w:next w:val="a5"/>
    <w:link w:val="a8"/>
    <w:uiPriority w:val="99"/>
    <w:semiHidden/>
    <w:unhideWhenUsed/>
    <w:rsid w:val="00B92034"/>
    <w:rPr>
      <w:b/>
      <w:bCs/>
    </w:rPr>
  </w:style>
  <w:style w:type="character" w:customStyle="1" w:styleId="a8">
    <w:name w:val="Тема примечания Знак"/>
    <w:basedOn w:val="a6"/>
    <w:link w:val="a7"/>
    <w:uiPriority w:val="99"/>
    <w:semiHidden/>
    <w:rsid w:val="00B92034"/>
    <w:rPr>
      <w:b/>
      <w:bCs/>
    </w:rPr>
  </w:style>
  <w:style w:type="paragraph" w:styleId="a9">
    <w:name w:val="Balloon Text"/>
    <w:basedOn w:val="a"/>
    <w:link w:val="aa"/>
    <w:uiPriority w:val="99"/>
    <w:semiHidden/>
    <w:unhideWhenUsed/>
    <w:rsid w:val="00B92034"/>
    <w:pPr>
      <w:spacing w:after="0"/>
    </w:pPr>
    <w:rPr>
      <w:rFonts w:ascii="Tahoma" w:hAnsi="Tahoma" w:cs="Tahoma"/>
      <w:sz w:val="16"/>
      <w:szCs w:val="16"/>
    </w:rPr>
  </w:style>
  <w:style w:type="character" w:customStyle="1" w:styleId="aa">
    <w:name w:val="Текст выноски Знак"/>
    <w:basedOn w:val="a0"/>
    <w:link w:val="a9"/>
    <w:uiPriority w:val="99"/>
    <w:semiHidden/>
    <w:rsid w:val="00B92034"/>
    <w:rPr>
      <w:rFonts w:ascii="Tahoma" w:hAnsi="Tahoma" w:cs="Tahoma"/>
      <w:sz w:val="16"/>
      <w:szCs w:val="16"/>
    </w:rPr>
  </w:style>
  <w:style w:type="character" w:styleId="ab">
    <w:name w:val="Hyperlink"/>
    <w:basedOn w:val="a0"/>
    <w:uiPriority w:val="99"/>
    <w:unhideWhenUsed/>
    <w:rsid w:val="00B92034"/>
    <w:rPr>
      <w:color w:val="0000FF"/>
      <w:u w:val="single"/>
    </w:rPr>
  </w:style>
  <w:style w:type="paragraph" w:styleId="ac">
    <w:name w:val="Normal (Web)"/>
    <w:basedOn w:val="a"/>
    <w:uiPriority w:val="99"/>
    <w:unhideWhenUsed/>
    <w:rsid w:val="00357F87"/>
    <w:pPr>
      <w:spacing w:before="100" w:beforeAutospacing="1" w:after="100" w:afterAutospacing="1"/>
    </w:pPr>
    <w:rPr>
      <w:rFonts w:eastAsia="Times New Roman" w:cs="Times New Roman"/>
      <w:sz w:val="24"/>
      <w:szCs w:val="24"/>
      <w:lang w:eastAsia="ru-RU"/>
    </w:rPr>
  </w:style>
  <w:style w:type="character" w:customStyle="1" w:styleId="10">
    <w:name w:val="Заголовок 1 Знак"/>
    <w:basedOn w:val="a0"/>
    <w:link w:val="1"/>
    <w:uiPriority w:val="9"/>
    <w:rsid w:val="004025E3"/>
    <w:rPr>
      <w:rFonts w:asciiTheme="majorHAnsi" w:eastAsiaTheme="majorEastAsia" w:hAnsiTheme="majorHAnsi" w:cstheme="majorBidi"/>
      <w:b/>
      <w:bCs/>
      <w:color w:val="2E74B5" w:themeColor="accent1" w:themeShade="BF"/>
      <w:sz w:val="28"/>
      <w:szCs w:val="28"/>
    </w:rPr>
  </w:style>
  <w:style w:type="paragraph" w:styleId="ad">
    <w:name w:val="TOC Heading"/>
    <w:basedOn w:val="1"/>
    <w:next w:val="a"/>
    <w:uiPriority w:val="39"/>
    <w:semiHidden/>
    <w:unhideWhenUsed/>
    <w:qFormat/>
    <w:rsid w:val="004025E3"/>
    <w:pPr>
      <w:spacing w:line="276" w:lineRule="auto"/>
      <w:outlineLvl w:val="9"/>
    </w:pPr>
  </w:style>
  <w:style w:type="paragraph" w:styleId="11">
    <w:name w:val="toc 1"/>
    <w:basedOn w:val="a"/>
    <w:next w:val="a"/>
    <w:autoRedefine/>
    <w:uiPriority w:val="39"/>
    <w:unhideWhenUsed/>
    <w:rsid w:val="004025E3"/>
    <w:pPr>
      <w:spacing w:after="100"/>
    </w:pPr>
  </w:style>
  <w:style w:type="paragraph" w:styleId="ae">
    <w:name w:val="header"/>
    <w:basedOn w:val="a"/>
    <w:link w:val="af"/>
    <w:uiPriority w:val="99"/>
    <w:semiHidden/>
    <w:unhideWhenUsed/>
    <w:rsid w:val="004025E3"/>
    <w:pPr>
      <w:tabs>
        <w:tab w:val="center" w:pos="4677"/>
        <w:tab w:val="right" w:pos="9355"/>
      </w:tabs>
      <w:spacing w:after="0"/>
    </w:pPr>
  </w:style>
  <w:style w:type="character" w:customStyle="1" w:styleId="af">
    <w:name w:val="Верхний колонтитул Знак"/>
    <w:basedOn w:val="a0"/>
    <w:link w:val="ae"/>
    <w:uiPriority w:val="99"/>
    <w:semiHidden/>
    <w:rsid w:val="004025E3"/>
    <w:rPr>
      <w:rFonts w:ascii="Times New Roman" w:hAnsi="Times New Roman"/>
      <w:sz w:val="28"/>
    </w:rPr>
  </w:style>
  <w:style w:type="paragraph" w:styleId="af0">
    <w:name w:val="footer"/>
    <w:basedOn w:val="a"/>
    <w:link w:val="af1"/>
    <w:uiPriority w:val="99"/>
    <w:unhideWhenUsed/>
    <w:rsid w:val="004025E3"/>
    <w:pPr>
      <w:tabs>
        <w:tab w:val="center" w:pos="4677"/>
        <w:tab w:val="right" w:pos="9355"/>
      </w:tabs>
      <w:spacing w:after="0"/>
    </w:pPr>
  </w:style>
  <w:style w:type="character" w:customStyle="1" w:styleId="af1">
    <w:name w:val="Нижний колонтитул Знак"/>
    <w:basedOn w:val="a0"/>
    <w:link w:val="af0"/>
    <w:uiPriority w:val="99"/>
    <w:rsid w:val="004025E3"/>
    <w:rPr>
      <w:rFonts w:ascii="Times New Roman" w:hAnsi="Times New Roman"/>
      <w:sz w:val="28"/>
    </w:rPr>
  </w:style>
  <w:style w:type="character" w:customStyle="1" w:styleId="20">
    <w:name w:val="Заголовок 2 Знак"/>
    <w:basedOn w:val="a0"/>
    <w:link w:val="2"/>
    <w:uiPriority w:val="9"/>
    <w:rsid w:val="00B651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7B063C"/>
    <w:rPr>
      <w:rFonts w:ascii="Times New Roman" w:eastAsia="Times New Roman" w:hAnsi="Times New Roman" w:cs="Times New Roman"/>
      <w:b/>
      <w:bCs/>
      <w:sz w:val="27"/>
      <w:szCs w:val="27"/>
      <w:lang w:eastAsia="ru-RU"/>
    </w:rPr>
  </w:style>
  <w:style w:type="paragraph" w:styleId="21">
    <w:name w:val="toc 2"/>
    <w:basedOn w:val="a"/>
    <w:next w:val="a"/>
    <w:autoRedefine/>
    <w:uiPriority w:val="39"/>
    <w:unhideWhenUsed/>
    <w:rsid w:val="00620682"/>
    <w:pPr>
      <w:spacing w:after="100"/>
      <w:ind w:left="280"/>
    </w:pPr>
  </w:style>
  <w:style w:type="paragraph" w:customStyle="1" w:styleId="ds-markdown-paragraph">
    <w:name w:val="ds-markdown-paragraph"/>
    <w:basedOn w:val="a"/>
    <w:rsid w:val="001C5646"/>
    <w:pPr>
      <w:spacing w:before="100" w:beforeAutospacing="1" w:after="100" w:afterAutospacing="1"/>
    </w:pPr>
    <w:rPr>
      <w:rFonts w:eastAsia="Times New Roman" w:cs="Times New Roman"/>
      <w:sz w:val="24"/>
      <w:szCs w:val="24"/>
      <w:lang w:eastAsia="ru-RU"/>
    </w:rPr>
  </w:style>
  <w:style w:type="character" w:styleId="af2">
    <w:name w:val="Placeholder Text"/>
    <w:basedOn w:val="a0"/>
    <w:uiPriority w:val="99"/>
    <w:semiHidden/>
    <w:rsid w:val="002A04AC"/>
    <w:rPr>
      <w:color w:val="808080"/>
    </w:rPr>
  </w:style>
  <w:style w:type="paragraph" w:styleId="31">
    <w:name w:val="toc 3"/>
    <w:basedOn w:val="a"/>
    <w:next w:val="a"/>
    <w:autoRedefine/>
    <w:uiPriority w:val="39"/>
    <w:unhideWhenUsed/>
    <w:rsid w:val="00F03F0E"/>
    <w:pPr>
      <w:spacing w:after="100"/>
      <w:ind w:left="560"/>
    </w:pPr>
  </w:style>
</w:styles>
</file>

<file path=word/webSettings.xml><?xml version="1.0" encoding="utf-8"?>
<w:webSettings xmlns:r="http://schemas.openxmlformats.org/officeDocument/2006/relationships" xmlns:w="http://schemas.openxmlformats.org/wordprocessingml/2006/main">
  <w:divs>
    <w:div w:id="272441681">
      <w:bodyDiv w:val="1"/>
      <w:marLeft w:val="0"/>
      <w:marRight w:val="0"/>
      <w:marTop w:val="0"/>
      <w:marBottom w:val="0"/>
      <w:divBdr>
        <w:top w:val="none" w:sz="0" w:space="0" w:color="auto"/>
        <w:left w:val="none" w:sz="0" w:space="0" w:color="auto"/>
        <w:bottom w:val="none" w:sz="0" w:space="0" w:color="auto"/>
        <w:right w:val="none" w:sz="0" w:space="0" w:color="auto"/>
      </w:divBdr>
    </w:div>
    <w:div w:id="323243312">
      <w:bodyDiv w:val="1"/>
      <w:marLeft w:val="0"/>
      <w:marRight w:val="0"/>
      <w:marTop w:val="0"/>
      <w:marBottom w:val="0"/>
      <w:divBdr>
        <w:top w:val="none" w:sz="0" w:space="0" w:color="auto"/>
        <w:left w:val="none" w:sz="0" w:space="0" w:color="auto"/>
        <w:bottom w:val="none" w:sz="0" w:space="0" w:color="auto"/>
        <w:right w:val="none" w:sz="0" w:space="0" w:color="auto"/>
      </w:divBdr>
    </w:div>
    <w:div w:id="763379508">
      <w:bodyDiv w:val="1"/>
      <w:marLeft w:val="0"/>
      <w:marRight w:val="0"/>
      <w:marTop w:val="0"/>
      <w:marBottom w:val="0"/>
      <w:divBdr>
        <w:top w:val="none" w:sz="0" w:space="0" w:color="auto"/>
        <w:left w:val="none" w:sz="0" w:space="0" w:color="auto"/>
        <w:bottom w:val="none" w:sz="0" w:space="0" w:color="auto"/>
        <w:right w:val="none" w:sz="0" w:space="0" w:color="auto"/>
      </w:divBdr>
    </w:div>
    <w:div w:id="1022512009">
      <w:bodyDiv w:val="1"/>
      <w:marLeft w:val="0"/>
      <w:marRight w:val="0"/>
      <w:marTop w:val="0"/>
      <w:marBottom w:val="0"/>
      <w:divBdr>
        <w:top w:val="none" w:sz="0" w:space="0" w:color="auto"/>
        <w:left w:val="none" w:sz="0" w:space="0" w:color="auto"/>
        <w:bottom w:val="none" w:sz="0" w:space="0" w:color="auto"/>
        <w:right w:val="none" w:sz="0" w:space="0" w:color="auto"/>
      </w:divBdr>
    </w:div>
    <w:div w:id="1049766801">
      <w:bodyDiv w:val="1"/>
      <w:marLeft w:val="0"/>
      <w:marRight w:val="0"/>
      <w:marTop w:val="0"/>
      <w:marBottom w:val="0"/>
      <w:divBdr>
        <w:top w:val="none" w:sz="0" w:space="0" w:color="auto"/>
        <w:left w:val="none" w:sz="0" w:space="0" w:color="auto"/>
        <w:bottom w:val="none" w:sz="0" w:space="0" w:color="auto"/>
        <w:right w:val="none" w:sz="0" w:space="0" w:color="auto"/>
      </w:divBdr>
      <w:divsChild>
        <w:div w:id="1498227200">
          <w:marLeft w:val="0"/>
          <w:marRight w:val="0"/>
          <w:marTop w:val="0"/>
          <w:marBottom w:val="0"/>
          <w:divBdr>
            <w:top w:val="none" w:sz="0" w:space="0" w:color="auto"/>
            <w:left w:val="none" w:sz="0" w:space="0" w:color="auto"/>
            <w:bottom w:val="none" w:sz="0" w:space="0" w:color="auto"/>
            <w:right w:val="none" w:sz="0" w:space="0" w:color="auto"/>
          </w:divBdr>
        </w:div>
      </w:divsChild>
    </w:div>
    <w:div w:id="1191526445">
      <w:bodyDiv w:val="1"/>
      <w:marLeft w:val="0"/>
      <w:marRight w:val="0"/>
      <w:marTop w:val="0"/>
      <w:marBottom w:val="0"/>
      <w:divBdr>
        <w:top w:val="none" w:sz="0" w:space="0" w:color="auto"/>
        <w:left w:val="none" w:sz="0" w:space="0" w:color="auto"/>
        <w:bottom w:val="none" w:sz="0" w:space="0" w:color="auto"/>
        <w:right w:val="none" w:sz="0" w:space="0" w:color="auto"/>
      </w:divBdr>
    </w:div>
    <w:div w:id="1345590585">
      <w:bodyDiv w:val="1"/>
      <w:marLeft w:val="0"/>
      <w:marRight w:val="0"/>
      <w:marTop w:val="0"/>
      <w:marBottom w:val="0"/>
      <w:divBdr>
        <w:top w:val="none" w:sz="0" w:space="0" w:color="auto"/>
        <w:left w:val="none" w:sz="0" w:space="0" w:color="auto"/>
        <w:bottom w:val="none" w:sz="0" w:space="0" w:color="auto"/>
        <w:right w:val="none" w:sz="0" w:space="0" w:color="auto"/>
      </w:divBdr>
    </w:div>
    <w:div w:id="1594128220">
      <w:bodyDiv w:val="1"/>
      <w:marLeft w:val="0"/>
      <w:marRight w:val="0"/>
      <w:marTop w:val="0"/>
      <w:marBottom w:val="0"/>
      <w:divBdr>
        <w:top w:val="none" w:sz="0" w:space="0" w:color="auto"/>
        <w:left w:val="none" w:sz="0" w:space="0" w:color="auto"/>
        <w:bottom w:val="none" w:sz="0" w:space="0" w:color="auto"/>
        <w:right w:val="none" w:sz="0" w:space="0" w:color="auto"/>
      </w:divBdr>
    </w:div>
    <w:div w:id="207588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s://learn.microsoft.com/en-us/windows/wsl/tutorials/gpu-comput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C54F805-7AD5-46A0-BF4F-317E1FF02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5549</TotalTime>
  <Pages>29</Pages>
  <Words>5727</Words>
  <Characters>32646</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46</cp:revision>
  <dcterms:created xsi:type="dcterms:W3CDTF">2025-10-27T10:41:00Z</dcterms:created>
  <dcterms:modified xsi:type="dcterms:W3CDTF">2025-12-04T09:33:00Z</dcterms:modified>
</cp:coreProperties>
</file>